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0"/>
      <w:r w:rsidRPr="00BB3951">
        <w:rPr>
          <w:rFonts w:asciiTheme="minorHAnsi" w:hAnsiTheme="minorHAnsi" w:cstheme="minorHAnsi"/>
          <w:b/>
          <w:sz w:val="24"/>
          <w:szCs w:val="24"/>
        </w:rPr>
        <w:t>AÇÃO DE CONHECIMENTO</w:t>
      </w:r>
      <w:commentRangeEnd w:id="0"/>
      <w:r w:rsidR="007817B0">
        <w:rPr>
          <w:rStyle w:val="Refdecomentrio"/>
        </w:rPr>
        <w:commentReference w:id="0"/>
      </w:r>
    </w:p>
    <w:p w14:paraId="051BF545" w14:textId="26543EF9"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 xml:space="preserve">com pedido de </w:t>
      </w:r>
      <w:r w:rsidRPr="00BE0A78">
        <w:rPr>
          <w:rFonts w:asciiTheme="minorHAnsi" w:hAnsiTheme="minorHAnsi" w:cstheme="minorHAnsi"/>
          <w:b/>
          <w:color w:val="FF0000"/>
          <w:sz w:val="24"/>
          <w:szCs w:val="24"/>
        </w:rPr>
        <w:t>revisão de cláusula contratual</w:t>
      </w:r>
      <w:r w:rsidR="00E07B10">
        <w:rPr>
          <w:rFonts w:asciiTheme="minorHAnsi" w:hAnsiTheme="minorHAnsi" w:cstheme="minorHAnsi"/>
          <w:b/>
          <w:color w:val="FF0000"/>
          <w:sz w:val="24"/>
          <w:szCs w:val="24"/>
        </w:rPr>
        <w:t xml:space="preserve"> e</w:t>
      </w:r>
      <w:r w:rsidR="00EA5337">
        <w:rPr>
          <w:rFonts w:asciiTheme="minorHAnsi" w:hAnsiTheme="minorHAnsi" w:cstheme="minorHAnsi"/>
          <w:b/>
          <w:color w:val="FF0000"/>
          <w:sz w:val="24"/>
          <w:szCs w:val="24"/>
        </w:rPr>
        <w:t xml:space="preserve"> </w:t>
      </w:r>
      <w:r w:rsidRPr="00BE0A78">
        <w:rPr>
          <w:rFonts w:asciiTheme="minorHAnsi" w:hAnsiTheme="minorHAnsi" w:cstheme="minorHAnsi"/>
          <w:b/>
          <w:color w:val="FF0000"/>
          <w:sz w:val="24"/>
          <w:szCs w:val="24"/>
        </w:rPr>
        <w:t>repetição do indébito</w:t>
      </w:r>
      <w:r w:rsidR="00E578C8">
        <w:rPr>
          <w:rFonts w:asciiTheme="minorHAnsi" w:hAnsiTheme="minorHAnsi" w:cstheme="minorHAnsi"/>
          <w:b/>
          <w:color w:val="FF0000"/>
          <w:sz w:val="24"/>
          <w:szCs w:val="24"/>
        </w:rPr>
        <w:t xml:space="preserve"> </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E7E4819" w14:textId="78F47CBC" w:rsidR="00D27517" w:rsidRDefault="00D27517" w:rsidP="00EB4A9E">
      <w:pPr>
        <w:pStyle w:val="CORPOHOMERO"/>
      </w:pPr>
      <w:r>
        <w:t xml:space="preserve">Em </w:t>
      </w:r>
      <w:r w:rsidR="004F1923">
        <w:rPr>
          <w:b/>
          <w:bCs/>
        </w:rPr>
        <w:t>2</w:t>
      </w:r>
      <w:r w:rsidR="00EB65FE">
        <w:rPr>
          <w:b/>
          <w:bCs/>
        </w:rPr>
        <w:t>5</w:t>
      </w:r>
      <w:r w:rsidR="004F1923">
        <w:rPr>
          <w:b/>
          <w:bCs/>
        </w:rPr>
        <w:t xml:space="preserve"> de julho de 2016</w:t>
      </w:r>
      <w:r>
        <w:t xml:space="preserve">, a parte autora </w:t>
      </w:r>
      <w:r w:rsidR="0098607D">
        <w:t xml:space="preserve">celebrou com a demandada contrato de cartão de crédito consignado para pagamento </w:t>
      </w:r>
      <w:r w:rsidR="00D805F0">
        <w:t>mediante desconto de benefício do INSS (v. cópia anexa).</w:t>
      </w:r>
    </w:p>
    <w:p w14:paraId="042F8161" w14:textId="07F6EE2C" w:rsidR="0056491A" w:rsidRDefault="0056491A" w:rsidP="00EB4A9E">
      <w:pPr>
        <w:pStyle w:val="CORPOHOMERO"/>
      </w:pPr>
      <w:r>
        <w:lastRenderedPageBreak/>
        <w:t>Como provas as faturas anexas, a parte demandante realizou as seguintes operações ao longo do contrato (25/07/2016 até 03/05/2022):</w:t>
      </w:r>
    </w:p>
    <w:tbl>
      <w:tblPr>
        <w:tblStyle w:val="TabeladeGrade4-nfase5"/>
        <w:tblW w:w="0" w:type="auto"/>
        <w:tblLook w:val="04A0" w:firstRow="1" w:lastRow="0" w:firstColumn="1" w:lastColumn="0" w:noHBand="0" w:noVBand="1"/>
      </w:tblPr>
      <w:tblGrid>
        <w:gridCol w:w="3196"/>
        <w:gridCol w:w="3153"/>
        <w:gridCol w:w="2712"/>
      </w:tblGrid>
      <w:tr w:rsidR="00331AAC" w:rsidRPr="00A900C0" w14:paraId="1DCA829C" w14:textId="6535A782" w:rsidTr="00E16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527FC361" w14:textId="3291A6CB" w:rsidR="00331AAC" w:rsidRPr="00A900C0" w:rsidRDefault="00331AAC" w:rsidP="00331AAC">
            <w:pPr>
              <w:pStyle w:val="CORPOHOMERO"/>
              <w:ind w:firstLine="0"/>
              <w:jc w:val="center"/>
              <w:rPr>
                <w:sz w:val="19"/>
                <w:szCs w:val="18"/>
              </w:rPr>
            </w:pPr>
            <w:r w:rsidRPr="00A900C0">
              <w:rPr>
                <w:sz w:val="19"/>
                <w:szCs w:val="18"/>
              </w:rPr>
              <w:t>MÊS DE REFERÊNCIA</w:t>
            </w:r>
          </w:p>
        </w:tc>
        <w:tc>
          <w:tcPr>
            <w:tcW w:w="3153" w:type="dxa"/>
          </w:tcPr>
          <w:p w14:paraId="0A774CD0" w14:textId="0C946239" w:rsidR="00331AAC" w:rsidRPr="00A900C0" w:rsidRDefault="00331AAC" w:rsidP="00331AAC">
            <w:pPr>
              <w:pStyle w:val="CORPOHOMERO"/>
              <w:ind w:firstLine="0"/>
              <w:jc w:val="center"/>
              <w:cnfStyle w:val="100000000000" w:firstRow="1" w:lastRow="0" w:firstColumn="0" w:lastColumn="0" w:oddVBand="0" w:evenVBand="0" w:oddHBand="0" w:evenHBand="0" w:firstRowFirstColumn="0" w:firstRowLastColumn="0" w:lastRowFirstColumn="0" w:lastRowLastColumn="0"/>
              <w:rPr>
                <w:sz w:val="19"/>
                <w:szCs w:val="18"/>
              </w:rPr>
            </w:pPr>
            <w:r w:rsidRPr="00A900C0">
              <w:rPr>
                <w:sz w:val="19"/>
                <w:szCs w:val="18"/>
              </w:rPr>
              <w:t>TIPO DE OPERAÇÃO</w:t>
            </w:r>
          </w:p>
        </w:tc>
        <w:tc>
          <w:tcPr>
            <w:tcW w:w="2712" w:type="dxa"/>
          </w:tcPr>
          <w:p w14:paraId="566824A1" w14:textId="41E86C6D" w:rsidR="00331AAC" w:rsidRPr="00A900C0" w:rsidRDefault="00331AAC" w:rsidP="00331AAC">
            <w:pPr>
              <w:pStyle w:val="CORPOHOMERO"/>
              <w:ind w:firstLine="0"/>
              <w:jc w:val="center"/>
              <w:cnfStyle w:val="100000000000" w:firstRow="1" w:lastRow="0" w:firstColumn="0" w:lastColumn="0" w:oddVBand="0" w:evenVBand="0" w:oddHBand="0" w:evenHBand="0" w:firstRowFirstColumn="0" w:firstRowLastColumn="0" w:lastRowFirstColumn="0" w:lastRowLastColumn="0"/>
              <w:rPr>
                <w:sz w:val="19"/>
                <w:szCs w:val="18"/>
              </w:rPr>
            </w:pPr>
            <w:r w:rsidRPr="00A900C0">
              <w:rPr>
                <w:sz w:val="19"/>
                <w:szCs w:val="18"/>
              </w:rPr>
              <w:t>VALOR</w:t>
            </w:r>
          </w:p>
        </w:tc>
      </w:tr>
      <w:tr w:rsidR="00331AAC" w:rsidRPr="00A900C0" w14:paraId="499B176D" w14:textId="69BE66F4" w:rsidTr="00E1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7D01533D" w14:textId="0A7654E0" w:rsidR="00331AAC" w:rsidRPr="00A900C0" w:rsidRDefault="00E16472" w:rsidP="00E16472">
            <w:pPr>
              <w:pStyle w:val="CORPOHOMERO"/>
              <w:ind w:firstLine="0"/>
              <w:jc w:val="center"/>
              <w:rPr>
                <w:sz w:val="19"/>
                <w:szCs w:val="18"/>
              </w:rPr>
            </w:pPr>
            <w:r w:rsidRPr="00A900C0">
              <w:rPr>
                <w:sz w:val="19"/>
                <w:szCs w:val="18"/>
              </w:rPr>
              <w:t>25/07/2016</w:t>
            </w:r>
          </w:p>
        </w:tc>
        <w:tc>
          <w:tcPr>
            <w:tcW w:w="3153" w:type="dxa"/>
          </w:tcPr>
          <w:p w14:paraId="36E350AF" w14:textId="61773CBB" w:rsidR="00331AAC" w:rsidRPr="00A900C0" w:rsidRDefault="00E16472" w:rsidP="00E16472">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SAQUE</w:t>
            </w:r>
          </w:p>
        </w:tc>
        <w:tc>
          <w:tcPr>
            <w:tcW w:w="2712" w:type="dxa"/>
          </w:tcPr>
          <w:p w14:paraId="48809F84" w14:textId="6A0AB3CB" w:rsidR="00331AAC" w:rsidRPr="00A900C0" w:rsidRDefault="00E16472" w:rsidP="00E16472">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R$ 2.000,00</w:t>
            </w:r>
          </w:p>
        </w:tc>
      </w:tr>
      <w:tr w:rsidR="00331AAC" w:rsidRPr="00A900C0" w14:paraId="128B9C3B" w14:textId="667FE7A4" w:rsidTr="00E16472">
        <w:tc>
          <w:tcPr>
            <w:cnfStyle w:val="001000000000" w:firstRow="0" w:lastRow="0" w:firstColumn="1" w:lastColumn="0" w:oddVBand="0" w:evenVBand="0" w:oddHBand="0" w:evenHBand="0" w:firstRowFirstColumn="0" w:firstRowLastColumn="0" w:lastRowFirstColumn="0" w:lastRowLastColumn="0"/>
            <w:tcW w:w="3196" w:type="dxa"/>
          </w:tcPr>
          <w:p w14:paraId="5DDE7FDF" w14:textId="1416C5B0" w:rsidR="00331AAC" w:rsidRPr="00A900C0" w:rsidRDefault="00E16472" w:rsidP="00E16472">
            <w:pPr>
              <w:pStyle w:val="CORPOHOMERO"/>
              <w:ind w:firstLine="0"/>
              <w:jc w:val="center"/>
              <w:rPr>
                <w:sz w:val="19"/>
                <w:szCs w:val="18"/>
              </w:rPr>
            </w:pPr>
            <w:r w:rsidRPr="00A900C0">
              <w:rPr>
                <w:sz w:val="19"/>
                <w:szCs w:val="18"/>
              </w:rPr>
              <w:t>25/08/2016</w:t>
            </w:r>
          </w:p>
        </w:tc>
        <w:tc>
          <w:tcPr>
            <w:tcW w:w="3153" w:type="dxa"/>
          </w:tcPr>
          <w:p w14:paraId="3BDC6E98" w14:textId="64071128" w:rsidR="00331AAC" w:rsidRPr="00A900C0" w:rsidRDefault="00E16472" w:rsidP="00E16472">
            <w:pPr>
              <w:pStyle w:val="CORPOHOMERO"/>
              <w:ind w:firstLine="0"/>
              <w:jc w:val="center"/>
              <w:cnfStyle w:val="000000000000" w:firstRow="0" w:lastRow="0" w:firstColumn="0" w:lastColumn="0" w:oddVBand="0" w:evenVBand="0" w:oddHBand="0" w:evenHBand="0" w:firstRowFirstColumn="0" w:firstRowLastColumn="0" w:lastRowFirstColumn="0" w:lastRowLastColumn="0"/>
              <w:rPr>
                <w:sz w:val="19"/>
                <w:szCs w:val="18"/>
              </w:rPr>
            </w:pPr>
            <w:r w:rsidRPr="00A900C0">
              <w:rPr>
                <w:sz w:val="19"/>
                <w:szCs w:val="18"/>
              </w:rPr>
              <w:t>SAQUE</w:t>
            </w:r>
          </w:p>
        </w:tc>
        <w:tc>
          <w:tcPr>
            <w:tcW w:w="2712" w:type="dxa"/>
          </w:tcPr>
          <w:p w14:paraId="53E6775D" w14:textId="21D61F98" w:rsidR="00331AAC" w:rsidRPr="00A900C0" w:rsidRDefault="00E16472" w:rsidP="00E16472">
            <w:pPr>
              <w:pStyle w:val="CORPOHOMERO"/>
              <w:ind w:firstLine="0"/>
              <w:jc w:val="center"/>
              <w:cnfStyle w:val="000000000000" w:firstRow="0" w:lastRow="0" w:firstColumn="0" w:lastColumn="0" w:oddVBand="0" w:evenVBand="0" w:oddHBand="0" w:evenHBand="0" w:firstRowFirstColumn="0" w:firstRowLastColumn="0" w:lastRowFirstColumn="0" w:lastRowLastColumn="0"/>
              <w:rPr>
                <w:sz w:val="19"/>
                <w:szCs w:val="18"/>
              </w:rPr>
            </w:pPr>
            <w:r w:rsidRPr="00A900C0">
              <w:rPr>
                <w:sz w:val="19"/>
                <w:szCs w:val="18"/>
              </w:rPr>
              <w:t>R$1.000,00</w:t>
            </w:r>
          </w:p>
        </w:tc>
      </w:tr>
      <w:tr w:rsidR="00E16472" w:rsidRPr="00A900C0" w14:paraId="7A443B99" w14:textId="77777777" w:rsidTr="00E1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77C37B48" w14:textId="0B3A6C2A" w:rsidR="00E16472" w:rsidRPr="00A900C0" w:rsidRDefault="00E16472" w:rsidP="00E16472">
            <w:pPr>
              <w:pStyle w:val="CORPOHOMERO"/>
              <w:ind w:firstLine="0"/>
              <w:jc w:val="center"/>
              <w:rPr>
                <w:sz w:val="19"/>
                <w:szCs w:val="18"/>
              </w:rPr>
            </w:pPr>
            <w:r w:rsidRPr="00A900C0">
              <w:rPr>
                <w:sz w:val="19"/>
                <w:szCs w:val="18"/>
              </w:rPr>
              <w:t>25/</w:t>
            </w:r>
            <w:r w:rsidR="00FF4BDE" w:rsidRPr="00A900C0">
              <w:rPr>
                <w:sz w:val="19"/>
                <w:szCs w:val="18"/>
              </w:rPr>
              <w:t>12/2016</w:t>
            </w:r>
          </w:p>
        </w:tc>
        <w:tc>
          <w:tcPr>
            <w:tcW w:w="3153" w:type="dxa"/>
          </w:tcPr>
          <w:p w14:paraId="215D72C4" w14:textId="7CE04385" w:rsidR="00E16472" w:rsidRPr="00A900C0" w:rsidRDefault="00FF4BDE" w:rsidP="00E16472">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 xml:space="preserve">COMPRA </w:t>
            </w:r>
          </w:p>
        </w:tc>
        <w:tc>
          <w:tcPr>
            <w:tcW w:w="2712" w:type="dxa"/>
          </w:tcPr>
          <w:p w14:paraId="19089B8D" w14:textId="14C36102" w:rsidR="00E16472" w:rsidRPr="00A900C0" w:rsidRDefault="00FF4BDE" w:rsidP="00E16472">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R$ 300,00</w:t>
            </w:r>
          </w:p>
        </w:tc>
      </w:tr>
    </w:tbl>
    <w:p w14:paraId="6DA04BA2" w14:textId="77777777" w:rsidR="0056491A" w:rsidRDefault="0056491A" w:rsidP="00EB4A9E">
      <w:pPr>
        <w:pStyle w:val="CORPOHOMERO"/>
      </w:pPr>
    </w:p>
    <w:p w14:paraId="23174B14" w14:textId="12BEF4FE" w:rsidR="002D12F3" w:rsidRDefault="002D12F3" w:rsidP="004222A5">
      <w:pPr>
        <w:pStyle w:val="CORPOHOMERO"/>
      </w:pPr>
      <w:r>
        <w:t>Mensalmente era</w:t>
      </w:r>
      <w:r w:rsidR="00947ED4">
        <w:t>m</w:t>
      </w:r>
      <w:r>
        <w:t xml:space="preserve"> descontado</w:t>
      </w:r>
      <w:r w:rsidR="00947ED4">
        <w:t>s</w:t>
      </w:r>
      <w:r>
        <w:t xml:space="preserve"> do benefício do INSS os seguintes valores a título de RMC:</w:t>
      </w:r>
    </w:p>
    <w:tbl>
      <w:tblPr>
        <w:tblStyle w:val="TabeladeGrade4-nfase5"/>
        <w:tblW w:w="0" w:type="auto"/>
        <w:jc w:val="center"/>
        <w:tblLook w:val="04A0" w:firstRow="1" w:lastRow="0" w:firstColumn="1" w:lastColumn="0" w:noHBand="0" w:noVBand="1"/>
      </w:tblPr>
      <w:tblGrid>
        <w:gridCol w:w="3196"/>
        <w:gridCol w:w="2712"/>
      </w:tblGrid>
      <w:tr w:rsidR="002461F5" w:rsidRPr="00A900C0" w14:paraId="71AED0C7" w14:textId="77777777" w:rsidTr="002461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6" w:type="dxa"/>
          </w:tcPr>
          <w:p w14:paraId="5AD24481" w14:textId="77777777" w:rsidR="002461F5" w:rsidRPr="00A900C0" w:rsidRDefault="002461F5" w:rsidP="003C0138">
            <w:pPr>
              <w:pStyle w:val="CORPOHOMERO"/>
              <w:ind w:firstLine="0"/>
              <w:jc w:val="center"/>
              <w:rPr>
                <w:sz w:val="19"/>
                <w:szCs w:val="18"/>
              </w:rPr>
            </w:pPr>
            <w:r w:rsidRPr="00A900C0">
              <w:rPr>
                <w:sz w:val="19"/>
                <w:szCs w:val="18"/>
              </w:rPr>
              <w:t>MÊS DE REFERÊNCIA</w:t>
            </w:r>
          </w:p>
        </w:tc>
        <w:tc>
          <w:tcPr>
            <w:tcW w:w="2712" w:type="dxa"/>
          </w:tcPr>
          <w:p w14:paraId="041D4363" w14:textId="77777777" w:rsidR="002461F5" w:rsidRPr="00A900C0" w:rsidRDefault="002461F5" w:rsidP="003C0138">
            <w:pPr>
              <w:pStyle w:val="CORPOHOMERO"/>
              <w:ind w:firstLine="0"/>
              <w:jc w:val="center"/>
              <w:cnfStyle w:val="100000000000" w:firstRow="1" w:lastRow="0" w:firstColumn="0" w:lastColumn="0" w:oddVBand="0" w:evenVBand="0" w:oddHBand="0" w:evenHBand="0" w:firstRowFirstColumn="0" w:firstRowLastColumn="0" w:lastRowFirstColumn="0" w:lastRowLastColumn="0"/>
              <w:rPr>
                <w:sz w:val="19"/>
                <w:szCs w:val="18"/>
              </w:rPr>
            </w:pPr>
            <w:r w:rsidRPr="00A900C0">
              <w:rPr>
                <w:sz w:val="19"/>
                <w:szCs w:val="18"/>
              </w:rPr>
              <w:t>VALOR</w:t>
            </w:r>
          </w:p>
        </w:tc>
      </w:tr>
      <w:tr w:rsidR="002461F5" w:rsidRPr="00A900C0" w14:paraId="2FFD97B9" w14:textId="77777777" w:rsidTr="002461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6" w:type="dxa"/>
          </w:tcPr>
          <w:p w14:paraId="5A8C5BC0" w14:textId="77777777" w:rsidR="002461F5" w:rsidRPr="00A900C0" w:rsidRDefault="002461F5" w:rsidP="003C0138">
            <w:pPr>
              <w:pStyle w:val="CORPOHOMERO"/>
              <w:ind w:firstLine="0"/>
              <w:jc w:val="center"/>
              <w:rPr>
                <w:sz w:val="19"/>
                <w:szCs w:val="18"/>
              </w:rPr>
            </w:pPr>
            <w:r w:rsidRPr="00A900C0">
              <w:rPr>
                <w:sz w:val="19"/>
                <w:szCs w:val="18"/>
              </w:rPr>
              <w:t>25/07/2016</w:t>
            </w:r>
          </w:p>
        </w:tc>
        <w:tc>
          <w:tcPr>
            <w:tcW w:w="2712" w:type="dxa"/>
          </w:tcPr>
          <w:p w14:paraId="45C84B4D" w14:textId="110FD73E" w:rsidR="002461F5" w:rsidRPr="00A900C0" w:rsidRDefault="002461F5" w:rsidP="003C0138">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R$ 200,00</w:t>
            </w:r>
          </w:p>
        </w:tc>
      </w:tr>
      <w:tr w:rsidR="002461F5" w:rsidRPr="00A900C0" w14:paraId="47EB67E6" w14:textId="77777777" w:rsidTr="002461F5">
        <w:trPr>
          <w:jc w:val="center"/>
        </w:trPr>
        <w:tc>
          <w:tcPr>
            <w:cnfStyle w:val="001000000000" w:firstRow="0" w:lastRow="0" w:firstColumn="1" w:lastColumn="0" w:oddVBand="0" w:evenVBand="0" w:oddHBand="0" w:evenHBand="0" w:firstRowFirstColumn="0" w:firstRowLastColumn="0" w:lastRowFirstColumn="0" w:lastRowLastColumn="0"/>
            <w:tcW w:w="3196" w:type="dxa"/>
          </w:tcPr>
          <w:p w14:paraId="2EB26A60" w14:textId="77777777" w:rsidR="002461F5" w:rsidRPr="00A900C0" w:rsidRDefault="002461F5" w:rsidP="003C0138">
            <w:pPr>
              <w:pStyle w:val="CORPOHOMERO"/>
              <w:ind w:firstLine="0"/>
              <w:jc w:val="center"/>
              <w:rPr>
                <w:sz w:val="19"/>
                <w:szCs w:val="18"/>
              </w:rPr>
            </w:pPr>
            <w:r w:rsidRPr="00A900C0">
              <w:rPr>
                <w:sz w:val="19"/>
                <w:szCs w:val="18"/>
              </w:rPr>
              <w:t>25/08/2016</w:t>
            </w:r>
          </w:p>
        </w:tc>
        <w:tc>
          <w:tcPr>
            <w:tcW w:w="2712" w:type="dxa"/>
          </w:tcPr>
          <w:p w14:paraId="76A58BA6" w14:textId="27C123CA" w:rsidR="002461F5" w:rsidRPr="00A900C0" w:rsidRDefault="002461F5" w:rsidP="003C0138">
            <w:pPr>
              <w:pStyle w:val="CORPOHOMERO"/>
              <w:ind w:firstLine="0"/>
              <w:jc w:val="center"/>
              <w:cnfStyle w:val="000000000000" w:firstRow="0" w:lastRow="0" w:firstColumn="0" w:lastColumn="0" w:oddVBand="0" w:evenVBand="0" w:oddHBand="0" w:evenHBand="0" w:firstRowFirstColumn="0" w:firstRowLastColumn="0" w:lastRowFirstColumn="0" w:lastRowLastColumn="0"/>
              <w:rPr>
                <w:sz w:val="19"/>
                <w:szCs w:val="18"/>
              </w:rPr>
            </w:pPr>
            <w:r w:rsidRPr="00A900C0">
              <w:rPr>
                <w:sz w:val="19"/>
                <w:szCs w:val="18"/>
              </w:rPr>
              <w:t>R$200,00</w:t>
            </w:r>
          </w:p>
        </w:tc>
      </w:tr>
      <w:tr w:rsidR="002461F5" w:rsidRPr="00A900C0" w14:paraId="55D51F5C" w14:textId="77777777" w:rsidTr="002461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6" w:type="dxa"/>
          </w:tcPr>
          <w:p w14:paraId="2CFDC17E" w14:textId="77777777" w:rsidR="002461F5" w:rsidRPr="00A900C0" w:rsidRDefault="002461F5" w:rsidP="003C0138">
            <w:pPr>
              <w:pStyle w:val="CORPOHOMERO"/>
              <w:ind w:firstLine="0"/>
              <w:jc w:val="center"/>
              <w:rPr>
                <w:sz w:val="19"/>
                <w:szCs w:val="18"/>
              </w:rPr>
            </w:pPr>
            <w:r w:rsidRPr="00A900C0">
              <w:rPr>
                <w:sz w:val="19"/>
                <w:szCs w:val="18"/>
              </w:rPr>
              <w:t>25/12/2016</w:t>
            </w:r>
          </w:p>
        </w:tc>
        <w:tc>
          <w:tcPr>
            <w:tcW w:w="2712" w:type="dxa"/>
          </w:tcPr>
          <w:p w14:paraId="503329BD" w14:textId="4A81BE21" w:rsidR="002461F5" w:rsidRPr="00A900C0" w:rsidRDefault="002461F5" w:rsidP="003C0138">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 xml:space="preserve">R$ </w:t>
            </w:r>
            <w:r w:rsidR="005C11E6" w:rsidRPr="00A900C0">
              <w:rPr>
                <w:sz w:val="19"/>
                <w:szCs w:val="18"/>
              </w:rPr>
              <w:t>2</w:t>
            </w:r>
            <w:r w:rsidRPr="00A900C0">
              <w:rPr>
                <w:sz w:val="19"/>
                <w:szCs w:val="18"/>
              </w:rPr>
              <w:t>00,00</w:t>
            </w:r>
          </w:p>
        </w:tc>
      </w:tr>
      <w:tr w:rsidR="005C11E6" w:rsidRPr="00A900C0" w14:paraId="5A95E939" w14:textId="77777777" w:rsidTr="002461F5">
        <w:trPr>
          <w:jc w:val="center"/>
        </w:trPr>
        <w:tc>
          <w:tcPr>
            <w:cnfStyle w:val="001000000000" w:firstRow="0" w:lastRow="0" w:firstColumn="1" w:lastColumn="0" w:oddVBand="0" w:evenVBand="0" w:oddHBand="0" w:evenHBand="0" w:firstRowFirstColumn="0" w:firstRowLastColumn="0" w:lastRowFirstColumn="0" w:lastRowLastColumn="0"/>
            <w:tcW w:w="3196" w:type="dxa"/>
          </w:tcPr>
          <w:p w14:paraId="3101BC9C" w14:textId="570AFD61" w:rsidR="005C11E6" w:rsidRPr="00A900C0" w:rsidRDefault="005C11E6" w:rsidP="003C0138">
            <w:pPr>
              <w:pStyle w:val="CORPOHOMERO"/>
              <w:ind w:firstLine="0"/>
              <w:jc w:val="center"/>
              <w:rPr>
                <w:sz w:val="19"/>
                <w:szCs w:val="18"/>
              </w:rPr>
            </w:pPr>
            <w:r w:rsidRPr="00A900C0">
              <w:rPr>
                <w:sz w:val="19"/>
                <w:szCs w:val="18"/>
              </w:rPr>
              <w:t>25/01/201</w:t>
            </w:r>
            <w:r w:rsidR="00C76FEE" w:rsidRPr="00A900C0">
              <w:rPr>
                <w:sz w:val="19"/>
                <w:szCs w:val="18"/>
              </w:rPr>
              <w:t>7</w:t>
            </w:r>
            <w:r w:rsidRPr="00A900C0">
              <w:rPr>
                <w:sz w:val="19"/>
                <w:szCs w:val="18"/>
              </w:rPr>
              <w:t xml:space="preserve"> a </w:t>
            </w:r>
            <w:r w:rsidR="00C76FEE" w:rsidRPr="00A900C0">
              <w:rPr>
                <w:sz w:val="19"/>
                <w:szCs w:val="18"/>
              </w:rPr>
              <w:t>25/12/2017</w:t>
            </w:r>
          </w:p>
        </w:tc>
        <w:tc>
          <w:tcPr>
            <w:tcW w:w="2712" w:type="dxa"/>
          </w:tcPr>
          <w:p w14:paraId="2AAD6F5C" w14:textId="45886CA1" w:rsidR="005C11E6" w:rsidRPr="00A900C0" w:rsidRDefault="00C76FEE" w:rsidP="003C0138">
            <w:pPr>
              <w:pStyle w:val="CORPOHOMERO"/>
              <w:ind w:firstLine="0"/>
              <w:jc w:val="center"/>
              <w:cnfStyle w:val="000000000000" w:firstRow="0" w:lastRow="0" w:firstColumn="0" w:lastColumn="0" w:oddVBand="0" w:evenVBand="0" w:oddHBand="0" w:evenHBand="0" w:firstRowFirstColumn="0" w:firstRowLastColumn="0" w:lastRowFirstColumn="0" w:lastRowLastColumn="0"/>
              <w:rPr>
                <w:sz w:val="19"/>
                <w:szCs w:val="18"/>
              </w:rPr>
            </w:pPr>
            <w:r w:rsidRPr="00A900C0">
              <w:rPr>
                <w:sz w:val="19"/>
                <w:szCs w:val="18"/>
              </w:rPr>
              <w:t>R$ 200,00</w:t>
            </w:r>
          </w:p>
        </w:tc>
      </w:tr>
      <w:tr w:rsidR="00C76FEE" w:rsidRPr="00A900C0" w14:paraId="7F37BDD1" w14:textId="77777777" w:rsidTr="002461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6" w:type="dxa"/>
          </w:tcPr>
          <w:p w14:paraId="674DEF8E" w14:textId="2E6E1258" w:rsidR="00C76FEE" w:rsidRPr="00A900C0" w:rsidRDefault="00C76FEE" w:rsidP="003C0138">
            <w:pPr>
              <w:pStyle w:val="CORPOHOMERO"/>
              <w:ind w:firstLine="0"/>
              <w:jc w:val="center"/>
              <w:rPr>
                <w:sz w:val="19"/>
                <w:szCs w:val="18"/>
              </w:rPr>
            </w:pPr>
            <w:r w:rsidRPr="00A900C0">
              <w:rPr>
                <w:sz w:val="19"/>
                <w:szCs w:val="18"/>
              </w:rPr>
              <w:t>25/01/2018 a 25/12/2018</w:t>
            </w:r>
          </w:p>
        </w:tc>
        <w:tc>
          <w:tcPr>
            <w:tcW w:w="2712" w:type="dxa"/>
          </w:tcPr>
          <w:p w14:paraId="33EBFC38" w14:textId="7A411D44" w:rsidR="00C76FEE" w:rsidRPr="00A900C0" w:rsidRDefault="00C76FEE" w:rsidP="003C0138">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R$ 250,000</w:t>
            </w:r>
          </w:p>
        </w:tc>
      </w:tr>
      <w:tr w:rsidR="00C76FEE" w:rsidRPr="00A900C0" w14:paraId="7F9BE340" w14:textId="77777777" w:rsidTr="002461F5">
        <w:trPr>
          <w:jc w:val="center"/>
        </w:trPr>
        <w:tc>
          <w:tcPr>
            <w:cnfStyle w:val="001000000000" w:firstRow="0" w:lastRow="0" w:firstColumn="1" w:lastColumn="0" w:oddVBand="0" w:evenVBand="0" w:oddHBand="0" w:evenHBand="0" w:firstRowFirstColumn="0" w:firstRowLastColumn="0" w:lastRowFirstColumn="0" w:lastRowLastColumn="0"/>
            <w:tcW w:w="3196" w:type="dxa"/>
          </w:tcPr>
          <w:p w14:paraId="7F6D3555" w14:textId="766F092F" w:rsidR="00C76FEE" w:rsidRPr="00A900C0" w:rsidRDefault="00C76FEE" w:rsidP="003C0138">
            <w:pPr>
              <w:pStyle w:val="CORPOHOMERO"/>
              <w:ind w:firstLine="0"/>
              <w:jc w:val="center"/>
              <w:rPr>
                <w:sz w:val="19"/>
                <w:szCs w:val="18"/>
              </w:rPr>
            </w:pPr>
            <w:r w:rsidRPr="00A900C0">
              <w:rPr>
                <w:sz w:val="19"/>
                <w:szCs w:val="18"/>
              </w:rPr>
              <w:t>25/01/2019 a 25/12/2019</w:t>
            </w:r>
          </w:p>
        </w:tc>
        <w:tc>
          <w:tcPr>
            <w:tcW w:w="2712" w:type="dxa"/>
          </w:tcPr>
          <w:p w14:paraId="1BA40D38" w14:textId="7F57376C" w:rsidR="00C76FEE" w:rsidRPr="00A900C0" w:rsidRDefault="00C76FEE" w:rsidP="003C0138">
            <w:pPr>
              <w:pStyle w:val="CORPOHOMERO"/>
              <w:ind w:firstLine="0"/>
              <w:jc w:val="center"/>
              <w:cnfStyle w:val="000000000000" w:firstRow="0" w:lastRow="0" w:firstColumn="0" w:lastColumn="0" w:oddVBand="0" w:evenVBand="0" w:oddHBand="0" w:evenHBand="0" w:firstRowFirstColumn="0" w:firstRowLastColumn="0" w:lastRowFirstColumn="0" w:lastRowLastColumn="0"/>
              <w:rPr>
                <w:sz w:val="19"/>
                <w:szCs w:val="18"/>
              </w:rPr>
            </w:pPr>
            <w:r w:rsidRPr="00A900C0">
              <w:rPr>
                <w:sz w:val="19"/>
                <w:szCs w:val="18"/>
              </w:rPr>
              <w:t>R$ 250,00</w:t>
            </w:r>
          </w:p>
        </w:tc>
      </w:tr>
      <w:tr w:rsidR="00C76FEE" w:rsidRPr="00A900C0" w14:paraId="2E327406" w14:textId="77777777" w:rsidTr="002461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6" w:type="dxa"/>
          </w:tcPr>
          <w:p w14:paraId="6646C7D6" w14:textId="688E2666" w:rsidR="00C76FEE" w:rsidRPr="00A900C0" w:rsidRDefault="00C76FEE" w:rsidP="003C0138">
            <w:pPr>
              <w:pStyle w:val="CORPOHOMERO"/>
              <w:ind w:firstLine="0"/>
              <w:jc w:val="center"/>
              <w:rPr>
                <w:sz w:val="19"/>
                <w:szCs w:val="18"/>
              </w:rPr>
            </w:pPr>
            <w:r w:rsidRPr="00A900C0">
              <w:rPr>
                <w:sz w:val="19"/>
                <w:szCs w:val="18"/>
              </w:rPr>
              <w:t>25/01/2020 a 25/12/202</w:t>
            </w:r>
            <w:r w:rsidR="00B40E4D" w:rsidRPr="00A900C0">
              <w:rPr>
                <w:sz w:val="19"/>
                <w:szCs w:val="18"/>
              </w:rPr>
              <w:t>0</w:t>
            </w:r>
          </w:p>
        </w:tc>
        <w:tc>
          <w:tcPr>
            <w:tcW w:w="2712" w:type="dxa"/>
          </w:tcPr>
          <w:p w14:paraId="446D3FB9" w14:textId="6411ACFD" w:rsidR="00C76FEE" w:rsidRPr="00A900C0" w:rsidRDefault="00B40E4D" w:rsidP="003C0138">
            <w:pPr>
              <w:pStyle w:val="CORPOHOMERO"/>
              <w:ind w:firstLine="0"/>
              <w:jc w:val="center"/>
              <w:cnfStyle w:val="000000100000" w:firstRow="0" w:lastRow="0" w:firstColumn="0" w:lastColumn="0" w:oddVBand="0" w:evenVBand="0" w:oddHBand="1" w:evenHBand="0" w:firstRowFirstColumn="0" w:firstRowLastColumn="0" w:lastRowFirstColumn="0" w:lastRowLastColumn="0"/>
              <w:rPr>
                <w:sz w:val="19"/>
                <w:szCs w:val="18"/>
              </w:rPr>
            </w:pPr>
            <w:r w:rsidRPr="00A900C0">
              <w:rPr>
                <w:sz w:val="19"/>
                <w:szCs w:val="18"/>
              </w:rPr>
              <w:t>R$ 306,00</w:t>
            </w:r>
          </w:p>
        </w:tc>
      </w:tr>
      <w:tr w:rsidR="00B40E4D" w:rsidRPr="00A900C0" w14:paraId="4CD28BFF" w14:textId="77777777" w:rsidTr="002461F5">
        <w:trPr>
          <w:jc w:val="center"/>
        </w:trPr>
        <w:tc>
          <w:tcPr>
            <w:cnfStyle w:val="001000000000" w:firstRow="0" w:lastRow="0" w:firstColumn="1" w:lastColumn="0" w:oddVBand="0" w:evenVBand="0" w:oddHBand="0" w:evenHBand="0" w:firstRowFirstColumn="0" w:firstRowLastColumn="0" w:lastRowFirstColumn="0" w:lastRowLastColumn="0"/>
            <w:tcW w:w="3196" w:type="dxa"/>
          </w:tcPr>
          <w:p w14:paraId="34381D6B" w14:textId="124BF5CD" w:rsidR="00B40E4D" w:rsidRPr="00A900C0" w:rsidRDefault="00B40E4D" w:rsidP="003C0138">
            <w:pPr>
              <w:pStyle w:val="CORPOHOMERO"/>
              <w:ind w:firstLine="0"/>
              <w:jc w:val="center"/>
              <w:rPr>
                <w:sz w:val="19"/>
                <w:szCs w:val="18"/>
              </w:rPr>
            </w:pPr>
            <w:r w:rsidRPr="00A900C0">
              <w:rPr>
                <w:sz w:val="19"/>
                <w:szCs w:val="18"/>
              </w:rPr>
              <w:t xml:space="preserve">25/01/2021 a </w:t>
            </w:r>
            <w:r w:rsidR="00A900C0" w:rsidRPr="00A900C0">
              <w:rPr>
                <w:sz w:val="19"/>
                <w:szCs w:val="18"/>
              </w:rPr>
              <w:t>25/12/2021</w:t>
            </w:r>
          </w:p>
        </w:tc>
        <w:tc>
          <w:tcPr>
            <w:tcW w:w="2712" w:type="dxa"/>
          </w:tcPr>
          <w:p w14:paraId="67CD5F6B" w14:textId="5B84CB49" w:rsidR="00B40E4D" w:rsidRPr="00A900C0" w:rsidRDefault="00A900C0" w:rsidP="003C0138">
            <w:pPr>
              <w:pStyle w:val="CORPOHOMERO"/>
              <w:ind w:firstLine="0"/>
              <w:jc w:val="center"/>
              <w:cnfStyle w:val="000000000000" w:firstRow="0" w:lastRow="0" w:firstColumn="0" w:lastColumn="0" w:oddVBand="0" w:evenVBand="0" w:oddHBand="0" w:evenHBand="0" w:firstRowFirstColumn="0" w:firstRowLastColumn="0" w:lastRowFirstColumn="0" w:lastRowLastColumn="0"/>
              <w:rPr>
                <w:sz w:val="19"/>
                <w:szCs w:val="18"/>
              </w:rPr>
            </w:pPr>
            <w:r w:rsidRPr="00A900C0">
              <w:rPr>
                <w:sz w:val="19"/>
                <w:szCs w:val="18"/>
              </w:rPr>
              <w:t>R$ 350,00</w:t>
            </w:r>
          </w:p>
        </w:tc>
      </w:tr>
      <w:tr w:rsidR="00A900C0" w:rsidRPr="00A900C0" w14:paraId="528625CB" w14:textId="77777777" w:rsidTr="002461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6" w:type="dxa"/>
          </w:tcPr>
          <w:p w14:paraId="4B9D3500" w14:textId="7C516A68" w:rsidR="00A900C0" w:rsidRPr="00A900C0" w:rsidRDefault="00A900C0" w:rsidP="003C0138">
            <w:pPr>
              <w:pStyle w:val="CORPOHOMERO"/>
              <w:ind w:firstLine="0"/>
              <w:jc w:val="center"/>
              <w:rPr>
                <w:sz w:val="19"/>
                <w:szCs w:val="18"/>
              </w:rPr>
            </w:pPr>
            <w:r w:rsidRPr="00A900C0">
              <w:rPr>
                <w:sz w:val="19"/>
                <w:szCs w:val="18"/>
              </w:rPr>
              <w:t>TOTAL PAGO</w:t>
            </w:r>
          </w:p>
        </w:tc>
        <w:tc>
          <w:tcPr>
            <w:tcW w:w="2712" w:type="dxa"/>
          </w:tcPr>
          <w:p w14:paraId="69072793" w14:textId="5853A75C" w:rsidR="00A900C0" w:rsidRPr="00A900C0" w:rsidRDefault="00A900C0" w:rsidP="003C0138">
            <w:pPr>
              <w:pStyle w:val="CORPOHOMERO"/>
              <w:ind w:firstLine="0"/>
              <w:jc w:val="center"/>
              <w:cnfStyle w:val="000000100000" w:firstRow="0" w:lastRow="0" w:firstColumn="0" w:lastColumn="0" w:oddVBand="0" w:evenVBand="0" w:oddHBand="1" w:evenHBand="0" w:firstRowFirstColumn="0" w:firstRowLastColumn="0" w:lastRowFirstColumn="0" w:lastRowLastColumn="0"/>
              <w:rPr>
                <w:b/>
                <w:bCs/>
                <w:sz w:val="19"/>
                <w:szCs w:val="18"/>
              </w:rPr>
            </w:pPr>
            <w:r w:rsidRPr="00A900C0">
              <w:rPr>
                <w:b/>
                <w:bCs/>
                <w:sz w:val="19"/>
                <w:szCs w:val="18"/>
              </w:rPr>
              <w:t xml:space="preserve">R$ </w:t>
            </w:r>
            <w:proofErr w:type="spellStart"/>
            <w:r w:rsidRPr="00A900C0">
              <w:rPr>
                <w:b/>
                <w:bCs/>
                <w:sz w:val="19"/>
                <w:szCs w:val="18"/>
              </w:rPr>
              <w:t>xxxx,xx</w:t>
            </w:r>
            <w:proofErr w:type="spellEnd"/>
          </w:p>
        </w:tc>
      </w:tr>
    </w:tbl>
    <w:p w14:paraId="039D93C3" w14:textId="77777777" w:rsidR="002D12F3" w:rsidRDefault="002D12F3" w:rsidP="004222A5">
      <w:pPr>
        <w:pStyle w:val="CORPOHOMERO"/>
      </w:pPr>
    </w:p>
    <w:p w14:paraId="66006110" w14:textId="325A3207" w:rsidR="00A900C0" w:rsidRDefault="00A900C0" w:rsidP="004222A5">
      <w:pPr>
        <w:pStyle w:val="CORPOHOMERO"/>
      </w:pPr>
      <w:r>
        <w:t>No entanto, o cenário apresentado é de completa injustiça, porque há uma nítida cobrança excessiva de encargos durante a execução do contrato.</w:t>
      </w:r>
      <w:r w:rsidR="00E52ECB">
        <w:t xml:space="preserve"> A parte autora, ao todo, </w:t>
      </w:r>
      <w:r w:rsidR="00E52ECB" w:rsidRPr="002A2C2A">
        <w:rPr>
          <w:b/>
          <w:bCs/>
        </w:rPr>
        <w:t>tomou um crédito de R$xxxxx,00</w:t>
      </w:r>
      <w:r w:rsidR="001802C1">
        <w:t xml:space="preserve">, tendo </w:t>
      </w:r>
      <w:r w:rsidR="001802C1" w:rsidRPr="002A2C2A">
        <w:rPr>
          <w:u w:val="single"/>
        </w:rPr>
        <w:t xml:space="preserve">adimplido mensalmente como RMC </w:t>
      </w:r>
      <w:r w:rsidR="002A2C2A" w:rsidRPr="002A2C2A">
        <w:rPr>
          <w:u w:val="single"/>
        </w:rPr>
        <w:t xml:space="preserve">a quantia total de R$ </w:t>
      </w:r>
      <w:r w:rsidR="002A2C2A" w:rsidRPr="002A2C2A">
        <w:t>XXXX,XX</w:t>
      </w:r>
      <w:r w:rsidR="002A2C2A">
        <w:t>.</w:t>
      </w:r>
    </w:p>
    <w:p w14:paraId="6C6EF820" w14:textId="4366F102" w:rsidR="002A2C2A" w:rsidRDefault="00262C55" w:rsidP="004222A5">
      <w:pPr>
        <w:pStyle w:val="CORPOHOMERO"/>
      </w:pPr>
      <w:r>
        <w:t xml:space="preserve">Apesar dessa série de pagamentos, a parte ré aponta </w:t>
      </w:r>
      <w:r w:rsidRPr="007A0856">
        <w:rPr>
          <w:u w:val="single"/>
        </w:rPr>
        <w:t>que a autora possui ainda um débito de R$ XXXX,XX</w:t>
      </w:r>
      <w:r>
        <w:t>.</w:t>
      </w:r>
      <w:r w:rsidR="007A0856">
        <w:t xml:space="preserve"> É um verdadeiro absurdo que precisa ser coibido pelo Judiciário.</w:t>
      </w:r>
    </w:p>
    <w:p w14:paraId="0FB08864" w14:textId="33D49F8E" w:rsidR="00F86E16" w:rsidRDefault="00F86E16" w:rsidP="004222A5">
      <w:pPr>
        <w:pStyle w:val="CORPOHOMERO"/>
      </w:pPr>
      <w:r>
        <w:t xml:space="preserve">O patrono da parte autora procurou a solução extrajudicial para </w:t>
      </w:r>
      <w:r w:rsidR="00C66BC0">
        <w:t>formar acordo de quitação do débito e restituição dos valores pagos a maior (v. notificação anexa), porém não obteve êxito, uma vez que a parte demandada apenas ofertou a formalização de um parcelamento do saldo devedor acima indicado.</w:t>
      </w:r>
    </w:p>
    <w:p w14:paraId="3DC23F0E" w14:textId="0633D8E7" w:rsidR="00522C74" w:rsidRDefault="004F71F9" w:rsidP="00002BA9">
      <w:pPr>
        <w:pStyle w:val="CORPOHOMERO"/>
      </w:pPr>
      <w:r>
        <w:t xml:space="preserve">Inclusive, </w:t>
      </w:r>
      <w:r w:rsidRPr="00522C74">
        <w:rPr>
          <w:b/>
          <w:bCs/>
        </w:rPr>
        <w:t>foi proposto à parte ré que se limitasse a taxa de juros mensal</w:t>
      </w:r>
      <w:r>
        <w:t xml:space="preserve"> empregada no financiamento do crédito rotativo do cartão</w:t>
      </w:r>
      <w:r w:rsidR="00522C74">
        <w:t>,</w:t>
      </w:r>
      <w:r>
        <w:t xml:space="preserve"> pelo pagamento apenas do valor mínimo da fatura</w:t>
      </w:r>
      <w:r w:rsidR="00522C74">
        <w:t>, à taxa média do Banco Central do Brasil, todavia não houv</w:t>
      </w:r>
      <w:r w:rsidR="00002BA9">
        <w:t>e qualquer tipo de resposta da demandada.</w:t>
      </w:r>
    </w:p>
    <w:p w14:paraId="079A09AC" w14:textId="16E604B9" w:rsidR="00002BA9" w:rsidRPr="00BB3951" w:rsidRDefault="00002BA9" w:rsidP="00002BA9">
      <w:pPr>
        <w:pStyle w:val="CORPOHOMERO"/>
      </w:pPr>
      <w:r w:rsidRPr="00BB3951">
        <w:t xml:space="preserve">Como será concretamente demonstrado doravante, </w:t>
      </w:r>
      <w:r>
        <w:t xml:space="preserve">são absolutamente abusivas as taxas de juros remuneratórios praticadas no caso presente. </w:t>
      </w:r>
      <w:r w:rsidRPr="00BB3951">
        <w:t>Assim, necessária é a intervenção do Estado-Juiz para se realizar o equilíbrio contratual, por meio da revisão das cláusulas abusivas indicadas nas linhas seguintes.</w:t>
      </w:r>
    </w:p>
    <w:p w14:paraId="4EE394D6" w14:textId="77777777" w:rsidR="00002BA9" w:rsidRPr="00002BA9" w:rsidRDefault="00002BA9" w:rsidP="00002BA9">
      <w:pPr>
        <w:pStyle w:val="CORPOHOMERO"/>
      </w:pP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114FE63B"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w:t>
      </w:r>
      <w:r w:rsidR="00CA6DA0">
        <w:rPr>
          <w:rFonts w:asciiTheme="minorHAnsi" w:hAnsiTheme="minorHAnsi" w:cstheme="minorHAnsi"/>
          <w:b/>
          <w:sz w:val="24"/>
          <w:szCs w:val="24"/>
        </w:rPr>
        <w:t xml:space="preserve"> </w:t>
      </w:r>
    </w:p>
    <w:p w14:paraId="3BEA0109" w14:textId="77777777" w:rsidR="00360EC1" w:rsidRDefault="00360EC1" w:rsidP="000F5A50">
      <w:pPr>
        <w:tabs>
          <w:tab w:val="left" w:pos="2160"/>
        </w:tabs>
        <w:spacing w:after="0" w:line="360" w:lineRule="auto"/>
        <w:ind w:firstLine="567"/>
        <w:jc w:val="both"/>
        <w:rPr>
          <w:rFonts w:asciiTheme="minorHAnsi" w:hAnsiTheme="minorHAnsi" w:cstheme="minorHAnsi"/>
          <w:b/>
          <w:sz w:val="24"/>
          <w:szCs w:val="24"/>
          <w:u w:val="single"/>
        </w:rPr>
      </w:pPr>
    </w:p>
    <w:p w14:paraId="22BC264A" w14:textId="272316C0" w:rsidR="00E57D5E" w:rsidRPr="00BB3951" w:rsidRDefault="00E57D5E" w:rsidP="00E57D5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1</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Da abusiva taxa de juros remuneratórios</w:t>
      </w:r>
    </w:p>
    <w:p w14:paraId="33997F79" w14:textId="77777777" w:rsidR="00E57D5E" w:rsidRDefault="00E57D5E" w:rsidP="00515CCD">
      <w:pPr>
        <w:pStyle w:val="CORPOHOMERO"/>
      </w:pPr>
    </w:p>
    <w:p w14:paraId="1BAEB792" w14:textId="71E32F46" w:rsidR="00515CCD" w:rsidRPr="00401BD1" w:rsidRDefault="0041274E" w:rsidP="00515CCD">
      <w:pPr>
        <w:pStyle w:val="CORPOHOMERO"/>
      </w:pPr>
      <w:r w:rsidRPr="00401BD1">
        <w:t xml:space="preserve">Diante da relação de consumo estabelecida entre as partes, </w:t>
      </w:r>
      <w:r w:rsidR="00B81E4D" w:rsidRPr="00401BD1">
        <w:rPr>
          <w:rFonts w:cstheme="minorBidi"/>
        </w:rPr>
        <w:t>a análise do contrato em estudo deverá ser feita à luz da Lei 8.078/90</w:t>
      </w:r>
      <w:r w:rsidR="00B81E4D" w:rsidRPr="00401BD1">
        <w:rPr>
          <w:rStyle w:val="Refdenotaderodap"/>
          <w:rFonts w:asciiTheme="minorHAnsi" w:hAnsiTheme="minorHAnsi" w:cstheme="minorBidi"/>
          <w:sz w:val="24"/>
          <w:szCs w:val="24"/>
        </w:rPr>
        <w:footnoteReference w:id="2"/>
      </w:r>
      <w:r w:rsidR="00B81E4D" w:rsidRPr="00401BD1">
        <w:rPr>
          <w:rFonts w:cstheme="minorBidi"/>
        </w:rPr>
        <w:t xml:space="preserve">, </w:t>
      </w:r>
      <w:r w:rsidR="007A5CB2" w:rsidRPr="00401BD1">
        <w:rPr>
          <w:rFonts w:cstheme="minorBidi"/>
        </w:rPr>
        <w:t>a qual fixa a</w:t>
      </w:r>
      <w:r w:rsidR="00515CCD" w:rsidRPr="00401BD1">
        <w:t xml:space="preserve"> revisão ou modificação de cláusulas contratuais dos contratos de consumo </w:t>
      </w:r>
      <w:r w:rsidR="007A5CB2" w:rsidRPr="00401BD1">
        <w:t>como</w:t>
      </w:r>
      <w:r w:rsidR="00515CCD" w:rsidRPr="00401BD1">
        <w:t xml:space="preserve"> um direito do consumidor expressamente consignado no art. 6º, V e no §4º do art. 51, ambos do CDC. </w:t>
      </w:r>
    </w:p>
    <w:p w14:paraId="068C6F17" w14:textId="77777777" w:rsidR="00817013" w:rsidRDefault="00515CCD" w:rsidP="00515CCD">
      <w:pPr>
        <w:pStyle w:val="CORPOHOMERO"/>
        <w:rPr>
          <w:rFonts w:cstheme="minorBidi"/>
        </w:rPr>
      </w:pPr>
      <w:r w:rsidRPr="00401BD1">
        <w:t xml:space="preserve">Mais do que isso, a Lei consumerista classifica como hipótese de </w:t>
      </w:r>
      <w:r w:rsidRPr="00401BD1">
        <w:rPr>
          <w:b/>
          <w:bCs/>
        </w:rPr>
        <w:t>nulidade de pleno direito</w:t>
      </w:r>
      <w:r w:rsidRPr="00401BD1">
        <w:t xml:space="preserve"> a previsão de cláusulas contratuais que estabelecem </w:t>
      </w:r>
      <w:r w:rsidRPr="00401BD1">
        <w:rPr>
          <w:i/>
          <w:iCs/>
        </w:rPr>
        <w:t>“obrigações consideradas iníquas, abusivas, que coloquem o consumidor em desvantagem exagerada, ou sejam incompatíveis com a boa-fé ou a equidade”</w:t>
      </w:r>
      <w:r w:rsidRPr="00401BD1">
        <w:t xml:space="preserve"> (art., 51, IV, CDC).</w:t>
      </w:r>
      <w:r w:rsidR="002B598F" w:rsidRPr="00401BD1">
        <w:t xml:space="preserve"> E esta análise deve ser realizada </w:t>
      </w:r>
      <w:r w:rsidR="002B598F" w:rsidRPr="00401BD1">
        <w:rPr>
          <w:rFonts w:cstheme="minorBidi"/>
        </w:rPr>
        <w:t>a partir da premissa de que as cláusulas contratuais devem ser interpretadas de maneira mais favorável ao consumidor (art. 47, CDC).</w:t>
      </w:r>
    </w:p>
    <w:p w14:paraId="67318177" w14:textId="14C0FA03" w:rsidR="00515CCD" w:rsidRDefault="00D178E5" w:rsidP="006B241F">
      <w:pPr>
        <w:pStyle w:val="CORPOHOMERO"/>
      </w:pPr>
      <w:r>
        <w:rPr>
          <w:rFonts w:cstheme="minorBidi"/>
        </w:rPr>
        <w:t xml:space="preserve">No atinente ao </w:t>
      </w:r>
      <w:r w:rsidRPr="00401BD1">
        <w:rPr>
          <w:rFonts w:cstheme="minorBidi"/>
          <w:b/>
          <w:bCs/>
        </w:rPr>
        <w:t>controle judicial da taxa de juros remuneratórios</w:t>
      </w:r>
      <w:r>
        <w:rPr>
          <w:rFonts w:cstheme="minorBidi"/>
        </w:rPr>
        <w:t xml:space="preserve"> dos contratos bancários regidos pelo CDC</w:t>
      </w:r>
      <w:r w:rsidR="006B241F">
        <w:rPr>
          <w:rFonts w:cstheme="minorBidi"/>
        </w:rPr>
        <w:t xml:space="preserve">, </w:t>
      </w:r>
      <w:r w:rsidR="006B241F" w:rsidRPr="006B241F">
        <w:rPr>
          <w:rFonts w:cstheme="minorBidi"/>
          <w:u w:val="single"/>
        </w:rPr>
        <w:t xml:space="preserve">o </w:t>
      </w:r>
      <w:r w:rsidR="00515CCD" w:rsidRPr="006B241F">
        <w:rPr>
          <w:u w:val="single"/>
        </w:rPr>
        <w:t>Superior Tribunal de Justiça assentou que a revisão judicial é possível quando colocar o consumidor em desvantagem exagerada</w:t>
      </w:r>
      <w:r w:rsidR="00401BD1">
        <w:rPr>
          <w:u w:val="single"/>
        </w:rPr>
        <w:t>, o que é aferido a partir da análise da taxa média de mercado divulgada pelo Banco Central do Brasil mensalmente</w:t>
      </w:r>
      <w:r w:rsidR="00515CCD" w:rsidRPr="00B77AE7">
        <w:t>.</w:t>
      </w:r>
      <w:r w:rsidR="00515CCD" w:rsidRPr="18498DC6">
        <w:rPr>
          <w:rStyle w:val="Refdenotaderodap"/>
          <w:rFonts w:asciiTheme="minorHAnsi" w:hAnsiTheme="minorHAnsi" w:cstheme="minorBidi"/>
          <w:sz w:val="20"/>
          <w:szCs w:val="20"/>
        </w:rPr>
        <w:footnoteReference w:id="3"/>
      </w:r>
    </w:p>
    <w:p w14:paraId="714099B4" w14:textId="1034D9D8" w:rsidR="00515CCD" w:rsidRPr="00B77AE7" w:rsidRDefault="00515CCD" w:rsidP="00515CCD">
      <w:pPr>
        <w:pStyle w:val="CORPOHOMERO"/>
      </w:pPr>
      <w:r>
        <w:t xml:space="preserve">É bem verdade que esse recurso repetitivo não abrangeu diretamente o crédito consignado, porém isso não significou a revisão da taxa de juros remuneratórios com base nesse entendimento. Tanto é assim que os Tribunais estaduais </w:t>
      </w:r>
      <w:r w:rsidR="00DE57CE">
        <w:t>têm</w:t>
      </w:r>
      <w:r>
        <w:t xml:space="preserve"> reiteradamente enfrentado a possibilidade de revisão da taxa de juros remuneratórios dos contratos de empréstimos consignado.</w:t>
      </w:r>
      <w:r>
        <w:rPr>
          <w:rStyle w:val="Refdenotaderodap"/>
        </w:rPr>
        <w:footnoteReference w:id="4"/>
      </w:r>
    </w:p>
    <w:p w14:paraId="465978D2" w14:textId="23C9A97C" w:rsidR="00D94277" w:rsidRDefault="00515CCD" w:rsidP="00515CCD">
      <w:pPr>
        <w:pStyle w:val="CORPOHOMERO"/>
      </w:pPr>
      <w:r>
        <w:t xml:space="preserve">No </w:t>
      </w:r>
      <w:r w:rsidRPr="18498DC6">
        <w:rPr>
          <w:b/>
          <w:bCs/>
        </w:rPr>
        <w:t>contrato em análise</w:t>
      </w:r>
      <w:r>
        <w:t>, os juros remuneratórios</w:t>
      </w:r>
      <w:r w:rsidR="00D94277">
        <w:t xml:space="preserve"> incidente</w:t>
      </w:r>
      <w:r w:rsidR="003D63BD">
        <w:t>s</w:t>
      </w:r>
      <w:r w:rsidR="00D94277">
        <w:t xml:space="preserve"> sobre o crédito rotativo das faturas </w:t>
      </w:r>
      <w:r w:rsidR="00F67D3E">
        <w:t>foram o</w:t>
      </w:r>
      <w:r w:rsidR="00187BE1">
        <w:t>s</w:t>
      </w:r>
      <w:r w:rsidR="00F67D3E">
        <w:t xml:space="preserve"> seguintes</w:t>
      </w:r>
      <w:r w:rsidR="009B44DF">
        <w:t xml:space="preserve"> (v. cópias das faturas anexas)</w:t>
      </w:r>
      <w:r w:rsidR="00187BE1">
        <w:t>:</w:t>
      </w:r>
    </w:p>
    <w:tbl>
      <w:tblPr>
        <w:tblStyle w:val="Tabelacomgrade"/>
        <w:tblW w:w="0" w:type="auto"/>
        <w:jc w:val="center"/>
        <w:tblLook w:val="04A0" w:firstRow="1" w:lastRow="0" w:firstColumn="1" w:lastColumn="0" w:noHBand="0" w:noVBand="1"/>
      </w:tblPr>
      <w:tblGrid>
        <w:gridCol w:w="4530"/>
        <w:gridCol w:w="4531"/>
      </w:tblGrid>
      <w:tr w:rsidR="006215DB" w:rsidRPr="006215DB" w14:paraId="0B34B619" w14:textId="77777777" w:rsidTr="006215DB">
        <w:trPr>
          <w:jc w:val="center"/>
        </w:trPr>
        <w:tc>
          <w:tcPr>
            <w:tcW w:w="4530" w:type="dxa"/>
            <w:vAlign w:val="center"/>
          </w:tcPr>
          <w:p w14:paraId="7624A5BE" w14:textId="4A32758F" w:rsidR="006215DB" w:rsidRPr="006215DB" w:rsidRDefault="006215DB" w:rsidP="00E668C6">
            <w:pPr>
              <w:pStyle w:val="CORPOHOMERO"/>
              <w:spacing w:line="276" w:lineRule="auto"/>
              <w:ind w:firstLine="0"/>
              <w:jc w:val="center"/>
              <w:rPr>
                <w:b/>
                <w:bCs/>
                <w:sz w:val="18"/>
                <w:szCs w:val="18"/>
              </w:rPr>
            </w:pPr>
            <w:r w:rsidRPr="006215DB">
              <w:rPr>
                <w:b/>
                <w:bCs/>
                <w:sz w:val="18"/>
                <w:szCs w:val="18"/>
              </w:rPr>
              <w:t>VENCIMENTOS</w:t>
            </w:r>
          </w:p>
        </w:tc>
        <w:tc>
          <w:tcPr>
            <w:tcW w:w="4531" w:type="dxa"/>
            <w:vAlign w:val="center"/>
          </w:tcPr>
          <w:p w14:paraId="76F76042" w14:textId="43D365B3" w:rsidR="006215DB" w:rsidRPr="006215DB" w:rsidRDefault="006215DB" w:rsidP="00E668C6">
            <w:pPr>
              <w:pStyle w:val="CORPOHOMERO"/>
              <w:spacing w:line="276" w:lineRule="auto"/>
              <w:ind w:firstLine="0"/>
              <w:jc w:val="center"/>
              <w:rPr>
                <w:b/>
                <w:bCs/>
                <w:sz w:val="18"/>
                <w:szCs w:val="18"/>
              </w:rPr>
            </w:pPr>
            <w:r w:rsidRPr="006215DB">
              <w:rPr>
                <w:b/>
                <w:bCs/>
                <w:sz w:val="18"/>
                <w:szCs w:val="18"/>
              </w:rPr>
              <w:t>TX. DE JUROS REM. MENSAL</w:t>
            </w:r>
          </w:p>
        </w:tc>
      </w:tr>
      <w:tr w:rsidR="006215DB" w:rsidRPr="006215DB" w14:paraId="239E8446" w14:textId="77777777" w:rsidTr="006215DB">
        <w:trPr>
          <w:jc w:val="center"/>
        </w:trPr>
        <w:tc>
          <w:tcPr>
            <w:tcW w:w="4530" w:type="dxa"/>
            <w:vAlign w:val="center"/>
          </w:tcPr>
          <w:p w14:paraId="003A82C6" w14:textId="17837B69" w:rsidR="006215DB" w:rsidRPr="006215DB" w:rsidRDefault="006215DB" w:rsidP="00E668C6">
            <w:pPr>
              <w:pStyle w:val="CORPOHOMERO"/>
              <w:spacing w:line="276" w:lineRule="auto"/>
              <w:ind w:firstLine="0"/>
              <w:jc w:val="center"/>
              <w:rPr>
                <w:sz w:val="18"/>
                <w:szCs w:val="18"/>
              </w:rPr>
            </w:pPr>
            <w:r>
              <w:rPr>
                <w:sz w:val="18"/>
                <w:szCs w:val="18"/>
              </w:rPr>
              <w:t>DE 01/09/2016 A 01/12/2016</w:t>
            </w:r>
          </w:p>
        </w:tc>
        <w:tc>
          <w:tcPr>
            <w:tcW w:w="4531" w:type="dxa"/>
            <w:vAlign w:val="center"/>
          </w:tcPr>
          <w:p w14:paraId="5FB7A76A" w14:textId="43271901" w:rsidR="006215DB" w:rsidRPr="006215DB" w:rsidRDefault="006215DB" w:rsidP="00E668C6">
            <w:pPr>
              <w:pStyle w:val="CORPOHOMERO"/>
              <w:spacing w:line="276" w:lineRule="auto"/>
              <w:ind w:firstLine="0"/>
              <w:jc w:val="center"/>
              <w:rPr>
                <w:sz w:val="18"/>
                <w:szCs w:val="18"/>
              </w:rPr>
            </w:pPr>
            <w:r>
              <w:rPr>
                <w:sz w:val="18"/>
                <w:szCs w:val="18"/>
              </w:rPr>
              <w:t>3,0%</w:t>
            </w:r>
          </w:p>
        </w:tc>
      </w:tr>
      <w:tr w:rsidR="006215DB" w:rsidRPr="006215DB" w14:paraId="513E219D" w14:textId="77777777" w:rsidTr="006215DB">
        <w:trPr>
          <w:jc w:val="center"/>
        </w:trPr>
        <w:tc>
          <w:tcPr>
            <w:tcW w:w="4530" w:type="dxa"/>
            <w:vAlign w:val="center"/>
          </w:tcPr>
          <w:p w14:paraId="13452F79" w14:textId="523833AF" w:rsidR="006215DB" w:rsidRPr="006215DB" w:rsidRDefault="00E668C6" w:rsidP="00E668C6">
            <w:pPr>
              <w:pStyle w:val="CORPOHOMERO"/>
              <w:spacing w:line="276" w:lineRule="auto"/>
              <w:ind w:firstLine="0"/>
              <w:jc w:val="center"/>
              <w:rPr>
                <w:sz w:val="18"/>
                <w:szCs w:val="18"/>
              </w:rPr>
            </w:pPr>
            <w:r>
              <w:rPr>
                <w:sz w:val="18"/>
                <w:szCs w:val="18"/>
              </w:rPr>
              <w:t>DE 01/01/2017 A 01/12/2017</w:t>
            </w:r>
          </w:p>
        </w:tc>
        <w:tc>
          <w:tcPr>
            <w:tcW w:w="4531" w:type="dxa"/>
            <w:vAlign w:val="center"/>
          </w:tcPr>
          <w:p w14:paraId="603AF7B7" w14:textId="175032C6" w:rsidR="006215DB" w:rsidRPr="006215DB" w:rsidRDefault="00E668C6" w:rsidP="00E668C6">
            <w:pPr>
              <w:pStyle w:val="CORPOHOMERO"/>
              <w:spacing w:line="276" w:lineRule="auto"/>
              <w:ind w:firstLine="0"/>
              <w:jc w:val="center"/>
              <w:rPr>
                <w:sz w:val="18"/>
                <w:szCs w:val="18"/>
              </w:rPr>
            </w:pPr>
            <w:r>
              <w:rPr>
                <w:sz w:val="18"/>
                <w:szCs w:val="18"/>
              </w:rPr>
              <w:t>3,15%</w:t>
            </w:r>
          </w:p>
        </w:tc>
      </w:tr>
      <w:tr w:rsidR="006215DB" w:rsidRPr="006215DB" w14:paraId="597C5998" w14:textId="77777777" w:rsidTr="006215DB">
        <w:trPr>
          <w:jc w:val="center"/>
        </w:trPr>
        <w:tc>
          <w:tcPr>
            <w:tcW w:w="4530" w:type="dxa"/>
            <w:vAlign w:val="center"/>
          </w:tcPr>
          <w:p w14:paraId="579C60B8" w14:textId="659CD01E" w:rsidR="006215DB" w:rsidRPr="006215DB" w:rsidRDefault="00E668C6" w:rsidP="00E668C6">
            <w:pPr>
              <w:pStyle w:val="CORPOHOMERO"/>
              <w:spacing w:line="276" w:lineRule="auto"/>
              <w:ind w:firstLine="0"/>
              <w:jc w:val="center"/>
              <w:rPr>
                <w:sz w:val="18"/>
                <w:szCs w:val="18"/>
              </w:rPr>
            </w:pPr>
            <w:r>
              <w:rPr>
                <w:sz w:val="18"/>
                <w:szCs w:val="18"/>
              </w:rPr>
              <w:t>DE 01/01/2018 A 01/12/2018</w:t>
            </w:r>
          </w:p>
        </w:tc>
        <w:tc>
          <w:tcPr>
            <w:tcW w:w="4531" w:type="dxa"/>
            <w:vAlign w:val="center"/>
          </w:tcPr>
          <w:p w14:paraId="25376722" w14:textId="4E99A22A" w:rsidR="00E668C6" w:rsidRPr="006215DB" w:rsidRDefault="00E668C6" w:rsidP="00E668C6">
            <w:pPr>
              <w:pStyle w:val="CORPOHOMERO"/>
              <w:spacing w:line="276" w:lineRule="auto"/>
              <w:ind w:firstLine="0"/>
              <w:jc w:val="center"/>
              <w:rPr>
                <w:sz w:val="18"/>
                <w:szCs w:val="18"/>
              </w:rPr>
            </w:pPr>
            <w:r>
              <w:rPr>
                <w:sz w:val="18"/>
                <w:szCs w:val="18"/>
              </w:rPr>
              <w:t>3,17%</w:t>
            </w:r>
          </w:p>
        </w:tc>
      </w:tr>
      <w:tr w:rsidR="00540380" w:rsidRPr="006215DB" w14:paraId="60B161AF" w14:textId="77777777" w:rsidTr="006215DB">
        <w:trPr>
          <w:jc w:val="center"/>
        </w:trPr>
        <w:tc>
          <w:tcPr>
            <w:tcW w:w="4530" w:type="dxa"/>
            <w:vAlign w:val="center"/>
          </w:tcPr>
          <w:p w14:paraId="5094C59A" w14:textId="42E8683F" w:rsidR="00540380" w:rsidRDefault="00540380" w:rsidP="00E668C6">
            <w:pPr>
              <w:pStyle w:val="CORPOHOMERO"/>
              <w:spacing w:line="276" w:lineRule="auto"/>
              <w:ind w:firstLine="0"/>
              <w:jc w:val="center"/>
              <w:rPr>
                <w:sz w:val="18"/>
                <w:szCs w:val="18"/>
              </w:rPr>
            </w:pPr>
            <w:r>
              <w:rPr>
                <w:sz w:val="18"/>
                <w:szCs w:val="18"/>
              </w:rPr>
              <w:t>DE 01/01/201</w:t>
            </w:r>
            <w:r w:rsidR="00093055">
              <w:rPr>
                <w:sz w:val="18"/>
                <w:szCs w:val="18"/>
              </w:rPr>
              <w:t>9</w:t>
            </w:r>
            <w:r>
              <w:rPr>
                <w:sz w:val="18"/>
                <w:szCs w:val="18"/>
              </w:rPr>
              <w:t xml:space="preserve"> A 01/12/20</w:t>
            </w:r>
            <w:r w:rsidR="00093055">
              <w:rPr>
                <w:sz w:val="18"/>
                <w:szCs w:val="18"/>
              </w:rPr>
              <w:t>19</w:t>
            </w:r>
          </w:p>
        </w:tc>
        <w:tc>
          <w:tcPr>
            <w:tcW w:w="4531" w:type="dxa"/>
            <w:vAlign w:val="center"/>
          </w:tcPr>
          <w:p w14:paraId="766D786A" w14:textId="3EF837CE" w:rsidR="00540380" w:rsidRDefault="00540380" w:rsidP="00E668C6">
            <w:pPr>
              <w:pStyle w:val="CORPOHOMERO"/>
              <w:spacing w:line="276" w:lineRule="auto"/>
              <w:ind w:firstLine="0"/>
              <w:jc w:val="center"/>
              <w:rPr>
                <w:sz w:val="18"/>
                <w:szCs w:val="18"/>
              </w:rPr>
            </w:pPr>
            <w:r>
              <w:rPr>
                <w:sz w:val="18"/>
                <w:szCs w:val="18"/>
              </w:rPr>
              <w:t>3,45%</w:t>
            </w:r>
          </w:p>
        </w:tc>
      </w:tr>
    </w:tbl>
    <w:p w14:paraId="42729F66" w14:textId="17D23AFC" w:rsidR="00187BE1" w:rsidRDefault="00187BE1" w:rsidP="00515CCD">
      <w:pPr>
        <w:pStyle w:val="CORPOHOMERO"/>
      </w:pPr>
    </w:p>
    <w:p w14:paraId="43847721" w14:textId="11BA043A" w:rsidR="002F7348" w:rsidRDefault="002F7348" w:rsidP="002F7348">
      <w:pPr>
        <w:pStyle w:val="CORPOHOMERO"/>
      </w:pPr>
      <w:r>
        <w:t>Esses</w:t>
      </w:r>
      <w:r w:rsidRPr="00B77AE7">
        <w:t xml:space="preserve"> juros cobrados </w:t>
      </w:r>
      <w:r>
        <w:t xml:space="preserve">para financiar o saldo devedor das faturas aqui apresentadas </w:t>
      </w:r>
      <w:r w:rsidRPr="00B77AE7">
        <w:t xml:space="preserve">são manifestamente abusivos, haja vista que </w:t>
      </w:r>
      <w:r w:rsidRPr="00B77AE7">
        <w:rPr>
          <w:u w:val="single"/>
        </w:rPr>
        <w:t>não há risco bancário que justifique a excessiva cobrança</w:t>
      </w:r>
      <w:r>
        <w:t>, mormente porque se está diante de crédito consignado, o qual é irrevogável até a sua final quitação. Ou seja, há garantia de que a parte demandada receberá todo o valor mutuado.</w:t>
      </w:r>
    </w:p>
    <w:p w14:paraId="063353D9" w14:textId="17510CDE" w:rsidR="00FE14B7" w:rsidRDefault="00F02DA4" w:rsidP="00515CCD">
      <w:pPr>
        <w:pStyle w:val="CORPOHOMERO"/>
      </w:pPr>
      <w:r>
        <w:t>Não se olvida que o Banco Central do Brasil não divulg</w:t>
      </w:r>
      <w:r w:rsidR="006519D6">
        <w:t>ou</w:t>
      </w:r>
      <w:r>
        <w:t xml:space="preserve"> uma série temporal dos juros d</w:t>
      </w:r>
      <w:r w:rsidR="00FE14B7">
        <w:t xml:space="preserve">o </w:t>
      </w:r>
      <w:r w:rsidR="00FE14B7" w:rsidRPr="00F07A46">
        <w:rPr>
          <w:b/>
          <w:bCs/>
        </w:rPr>
        <w:t>cartão de crédito consignado</w:t>
      </w:r>
      <w:r w:rsidR="006519D6">
        <w:t xml:space="preserve">, como acontece com um contrato de </w:t>
      </w:r>
      <w:r w:rsidR="006519D6" w:rsidRPr="00F07A46">
        <w:rPr>
          <w:u w:val="single"/>
        </w:rPr>
        <w:t>cartão de crédito não consignado</w:t>
      </w:r>
      <w:r w:rsidR="006519D6">
        <w:t>.</w:t>
      </w:r>
      <w:r w:rsidR="00F07A46">
        <w:rPr>
          <w:rStyle w:val="Refdenotaderodap"/>
        </w:rPr>
        <w:footnoteReference w:id="5"/>
      </w:r>
    </w:p>
    <w:p w14:paraId="658EE73E" w14:textId="0BFE7F38" w:rsidR="00EA3EE8" w:rsidRDefault="00232315" w:rsidP="00515CCD">
      <w:pPr>
        <w:pStyle w:val="CORPOHOMERO"/>
      </w:pPr>
      <w:r>
        <w:t>Neste caso, até que seja criada uma série temporal exatamente correspondente ao cartão de crédito consignado</w:t>
      </w:r>
      <w:r w:rsidR="000F6E67">
        <w:t>,</w:t>
      </w:r>
      <w:r>
        <w:t xml:space="preserve"> </w:t>
      </w:r>
      <w:r w:rsidR="00485E1C">
        <w:t xml:space="preserve">não há se falar em impossibilidade de revisão, porque o próprio Superior Tribunal de Justiça, em caso </w:t>
      </w:r>
      <w:r w:rsidR="00456FF2">
        <w:t>análogo de falta de série temporal,</w:t>
      </w:r>
      <w:r w:rsidR="00485E1C">
        <w:t xml:space="preserve"> tem decisões recentes no sentido de que a </w:t>
      </w:r>
      <w:r w:rsidR="00456FF2">
        <w:t>ausência da séri</w:t>
      </w:r>
      <w:r w:rsidR="00407D75">
        <w:t>e</w:t>
      </w:r>
      <w:r w:rsidR="00456FF2">
        <w:t xml:space="preserve"> </w:t>
      </w:r>
      <w:r w:rsidR="00407D75">
        <w:t xml:space="preserve">permite </w:t>
      </w:r>
      <w:r w:rsidR="00456FF2">
        <w:t>o uso da analogia para utilizar a série temporal que</w:t>
      </w:r>
      <w:r w:rsidR="0096068B">
        <w:t xml:space="preserve"> seja compatível com o contrato questionado.</w:t>
      </w:r>
    </w:p>
    <w:p w14:paraId="3855D211" w14:textId="42153D3C" w:rsidR="0096068B" w:rsidRDefault="0096068B" w:rsidP="00515CCD">
      <w:pPr>
        <w:pStyle w:val="CORPOHOMERO"/>
      </w:pPr>
      <w:r>
        <w:t>Veja-se o que o STJ decidiu nos caso</w:t>
      </w:r>
      <w:r w:rsidR="001A7674">
        <w:t>s</w:t>
      </w:r>
      <w:r>
        <w:t xml:space="preserve"> de cartão de crédito que não possuía séria temporal</w:t>
      </w:r>
      <w:r w:rsidR="001A7674">
        <w:t xml:space="preserve"> anterior a 2011:</w:t>
      </w:r>
    </w:p>
    <w:p w14:paraId="0E87FCE2" w14:textId="5C76A688" w:rsidR="0096068B" w:rsidRPr="001A7674" w:rsidRDefault="001A7674" w:rsidP="001A7674">
      <w:pPr>
        <w:pStyle w:val="CORPOHOMERO"/>
        <w:ind w:left="1134" w:firstLine="0"/>
        <w:rPr>
          <w:sz w:val="19"/>
          <w:szCs w:val="18"/>
        </w:rPr>
      </w:pPr>
      <w:r w:rsidRPr="001A7674">
        <w:rPr>
          <w:sz w:val="19"/>
          <w:szCs w:val="18"/>
        </w:rPr>
        <w:t>RECURSO ESPECIAL. DIREITO CIVIL, CONSUMIDOR E PROCESSUAL CIVIL. A</w:t>
      </w:r>
      <w:r w:rsidRPr="001A7674">
        <w:rPr>
          <w:b/>
          <w:bCs/>
          <w:sz w:val="19"/>
          <w:szCs w:val="18"/>
        </w:rPr>
        <w:t xml:space="preserve">ÇÃO REVISIONAL. CONTRATO DE CARTÃO DE CRÉDITO. JUROS REMUNERATÓRIOS. </w:t>
      </w:r>
      <w:r w:rsidRPr="001A7674">
        <w:rPr>
          <w:sz w:val="19"/>
          <w:szCs w:val="18"/>
        </w:rPr>
        <w:t>ABUSIVIDADE RECONHECIDA PELO TRIBUNAL DE ORIGEM. REVISÃO. IMPOSSIBILIDADE. TEMA REPETITIVO Nº 27/STJ. INCIDÊNCIA DOS ENUNCIADOS N.º 05 E 07/STJ.</w:t>
      </w:r>
      <w:r w:rsidR="0090755E">
        <w:rPr>
          <w:sz w:val="19"/>
          <w:szCs w:val="18"/>
        </w:rPr>
        <w:t xml:space="preserve"> [...] </w:t>
      </w:r>
      <w:r w:rsidRPr="001A7674">
        <w:rPr>
          <w:sz w:val="19"/>
          <w:szCs w:val="18"/>
        </w:rPr>
        <w:t>4</w:t>
      </w:r>
      <w:r w:rsidR="00430784">
        <w:rPr>
          <w:sz w:val="19"/>
          <w:szCs w:val="18"/>
        </w:rPr>
        <w:t>[...]</w:t>
      </w:r>
      <w:r w:rsidRPr="000F6E67">
        <w:rPr>
          <w:b/>
          <w:bCs/>
          <w:sz w:val="19"/>
          <w:szCs w:val="18"/>
          <w:u w:val="single"/>
        </w:rPr>
        <w:t>, verifica-se que na presente hipótese, não existia qualquer parâmetro para a análise da abusividade das taxas contratadas</w:t>
      </w:r>
      <w:r w:rsidRPr="001A7674">
        <w:rPr>
          <w:sz w:val="19"/>
          <w:szCs w:val="18"/>
        </w:rPr>
        <w:t xml:space="preserve">.  5. Conforme destacado pelo Tribunal de Justiça do Estado do Rio Grande do Sul, não existia, antes de fevereiro de 2011, qualquer tabela que servisse de parâmetro para constatação de suposta abusividade dos juros remuneratórios previstos nos contratos de cartão de crédito.  </w:t>
      </w:r>
      <w:r w:rsidRPr="000F6E67">
        <w:rPr>
          <w:sz w:val="19"/>
          <w:szCs w:val="18"/>
          <w:u w:val="single"/>
        </w:rPr>
        <w:t>6. Dessa forma, mostra-se razoável a utilização da taxa de juros remuneratórios do cheque especial até fevereiro de 2011 e a partir de março de 2011, aquela específica para o cartão de crédito</w:t>
      </w:r>
      <w:r w:rsidRPr="001A7674">
        <w:rPr>
          <w:sz w:val="19"/>
          <w:szCs w:val="18"/>
        </w:rPr>
        <w:t>.</w:t>
      </w:r>
      <w:r w:rsidR="000F6E67">
        <w:rPr>
          <w:sz w:val="19"/>
          <w:szCs w:val="18"/>
        </w:rPr>
        <w:t xml:space="preserve"> [...] </w:t>
      </w:r>
      <w:r w:rsidRPr="001A7674">
        <w:rPr>
          <w:sz w:val="19"/>
          <w:szCs w:val="18"/>
        </w:rPr>
        <w:t>9. RECURSO ESPECIAL CONHECIDO E DESPROVIDO.</w:t>
      </w:r>
      <w:r w:rsidR="000F6E67">
        <w:rPr>
          <w:sz w:val="19"/>
          <w:szCs w:val="18"/>
        </w:rPr>
        <w:t xml:space="preserve"> </w:t>
      </w:r>
      <w:r w:rsidRPr="001A7674">
        <w:rPr>
          <w:sz w:val="19"/>
          <w:szCs w:val="18"/>
        </w:rPr>
        <w:t>(REsp 1722233/RS, Rel. Ministro PAULO DE TARSO SANSEVERINO, TERCEIRA TURMA, julgado em 14/09/2021, DJe 14/12/2021)</w:t>
      </w:r>
    </w:p>
    <w:p w14:paraId="65A3D78C" w14:textId="2D8BB6C2" w:rsidR="002F7348" w:rsidRDefault="00AE2391" w:rsidP="00515CCD">
      <w:pPr>
        <w:pStyle w:val="CORPOHOMERO"/>
      </w:pPr>
      <w:r>
        <w:t xml:space="preserve">Frisa-se aqui que </w:t>
      </w:r>
      <w:r w:rsidRPr="00623D15">
        <w:rPr>
          <w:b/>
          <w:bCs/>
        </w:rPr>
        <w:t>não se pode tomar como referência os c</w:t>
      </w:r>
      <w:r w:rsidR="00666D03" w:rsidRPr="00623D15">
        <w:rPr>
          <w:b/>
          <w:bCs/>
        </w:rPr>
        <w:t>artões de crédito tradicional</w:t>
      </w:r>
      <w:r w:rsidR="00666D03">
        <w:t>, porquanto eles possuem condições contratuais totalmente diferentes do cartão consignado.</w:t>
      </w:r>
      <w:r w:rsidR="00A1565C">
        <w:t xml:space="preserve"> Este último </w:t>
      </w:r>
      <w:r w:rsidR="00A413C4">
        <w:t>possui</w:t>
      </w:r>
      <w:r w:rsidR="00A1565C">
        <w:t xml:space="preserve"> garantia de recebimento pela vinculação do pagamento </w:t>
      </w:r>
      <w:r w:rsidR="00A413C4">
        <w:t>até quitação por meio de descontos na folha de pagamento, quan</w:t>
      </w:r>
      <w:r w:rsidR="00C045B0">
        <w:t>d</w:t>
      </w:r>
      <w:r w:rsidR="00A413C4">
        <w:t>o o cartão tradicional é objeto de intensas lutas do credor para receber o crédito.</w:t>
      </w:r>
    </w:p>
    <w:p w14:paraId="5837C046" w14:textId="4C6515E4" w:rsidR="00CB6E11" w:rsidRDefault="00CB6E11" w:rsidP="00515CCD">
      <w:pPr>
        <w:pStyle w:val="CORPOHOMERO"/>
      </w:pPr>
      <w:r>
        <w:t>Neste cenário,</w:t>
      </w:r>
      <w:r w:rsidR="008273A1">
        <w:t xml:space="preserve"> </w:t>
      </w:r>
      <w:r w:rsidRPr="007363E3">
        <w:rPr>
          <w:b/>
          <w:bCs/>
        </w:rPr>
        <w:t xml:space="preserve">a taxa </w:t>
      </w:r>
      <w:r w:rsidR="007363E3" w:rsidRPr="007363E3">
        <w:rPr>
          <w:b/>
          <w:bCs/>
        </w:rPr>
        <w:t>média de juros que mais se assemelha saque no cartão de crédito consignado é a série dos empréstimos consignados tradicionais</w:t>
      </w:r>
      <w:r w:rsidR="008273A1">
        <w:rPr>
          <w:b/>
          <w:bCs/>
        </w:rPr>
        <w:t>, a qual deverá ser aplicada analogicamente no presente caso</w:t>
      </w:r>
      <w:r w:rsidR="008273A1" w:rsidRPr="008273A1">
        <w:t>, com fundamento no art. 4º da LINDB.</w:t>
      </w:r>
    </w:p>
    <w:p w14:paraId="1CF50CDC" w14:textId="3D70C403" w:rsidR="00515CCD" w:rsidRPr="00B77AE7" w:rsidRDefault="00623D15" w:rsidP="00515CCD">
      <w:pPr>
        <w:pStyle w:val="CORPOHOMERO"/>
      </w:pPr>
      <w:r>
        <w:t xml:space="preserve">Como se está diante de </w:t>
      </w:r>
      <w:r w:rsidRPr="00ED3945">
        <w:rPr>
          <w:b/>
          <w:bCs/>
        </w:rPr>
        <w:t>crédito consignado vinculado ao INSS</w:t>
      </w:r>
      <w:r>
        <w:t xml:space="preserve">, deve ser aplicado analogicamente neste caso a </w:t>
      </w:r>
      <w:r w:rsidR="00ED3945" w:rsidRPr="00430784">
        <w:rPr>
          <w:i/>
          <w:iCs/>
          <w:u w:val="single"/>
        </w:rPr>
        <w:t>Taxa média mensal de juros das operações de crédito com recursos livres - Pessoas físicas - Crédito pessoal consignado para aposentados e pensionistas do INSS</w:t>
      </w:r>
      <w:r w:rsidR="00924DEF" w:rsidRPr="00430784">
        <w:rPr>
          <w:i/>
          <w:iCs/>
          <w:u w:val="single"/>
        </w:rPr>
        <w:t xml:space="preserve"> (25468 )</w:t>
      </w:r>
      <w:r w:rsidR="00515CCD" w:rsidRPr="18498DC6">
        <w:rPr>
          <w:rStyle w:val="Refdenotaderodap"/>
          <w:rFonts w:asciiTheme="minorHAnsi" w:hAnsiTheme="minorHAnsi" w:cstheme="minorBidi"/>
          <w:sz w:val="24"/>
          <w:szCs w:val="24"/>
        </w:rPr>
        <w:footnoteReference w:id="6"/>
      </w:r>
    </w:p>
    <w:p w14:paraId="209F7240" w14:textId="70DB9757" w:rsidR="00796C33" w:rsidRDefault="00515CCD" w:rsidP="00515CCD">
      <w:pPr>
        <w:pStyle w:val="CORPOHOMERO"/>
      </w:pPr>
      <w:r w:rsidRPr="00B77AE7">
        <w:t xml:space="preserve">Ao se cotejar as taxas de juros remuneratórios citadas, </w:t>
      </w:r>
      <w:r w:rsidRPr="003D7D02">
        <w:rPr>
          <w:b/>
          <w:bCs/>
        </w:rPr>
        <w:t>constata-se que a taxa contratual</w:t>
      </w:r>
      <w:r w:rsidR="00A85416" w:rsidRPr="003D7D02">
        <w:rPr>
          <w:b/>
          <w:bCs/>
        </w:rPr>
        <w:t xml:space="preserve"> onera excessivamente o consumidor</w:t>
      </w:r>
      <w:r w:rsidR="00A85416">
        <w:t>, colocando em verdadeira posição de desvantagem exagera, na exata medida que o</w:t>
      </w:r>
      <w:r w:rsidR="004D6BA2">
        <w:t>s pagamentos realizados mensalmente a título de RMC jamais serão suficientes para quitar o contrato dentro do prazo máximo estabelecido pela Instrução normativa 28/2008 do INSS.</w:t>
      </w:r>
    </w:p>
    <w:p w14:paraId="1E41A4A0" w14:textId="018BD47B" w:rsidR="00000FE0" w:rsidRDefault="00BE7F65" w:rsidP="008D17E5">
      <w:pPr>
        <w:pStyle w:val="CORPOHOMERO"/>
      </w:pPr>
      <w:r>
        <w:t>Nota-se abaixo a efetiva abusividade:</w:t>
      </w:r>
    </w:p>
    <w:bookmarkStart w:id="1" w:name="_MON_1711835246"/>
    <w:bookmarkEnd w:id="1"/>
    <w:p w14:paraId="2FB972BA" w14:textId="258984E9" w:rsidR="00000FE0" w:rsidRDefault="008F50DF" w:rsidP="00E47954">
      <w:pPr>
        <w:pStyle w:val="CORPOHOMERO"/>
        <w:ind w:firstLine="0"/>
      </w:pPr>
      <w:r>
        <w:object w:dxaOrig="8700" w:dyaOrig="4908" w14:anchorId="353E1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05pt;height:245.35pt" o:ole="">
            <v:imagedata r:id="rId13" o:title=""/>
          </v:shape>
          <o:OLEObject Type="Embed" ProgID="Excel.Sheet.12" ShapeID="_x0000_i1027" DrawAspect="Content" ObjectID="_1713113705" r:id="rId14"/>
        </w:object>
      </w:r>
    </w:p>
    <w:p w14:paraId="4B09F21D" w14:textId="6C631214" w:rsidR="00515CCD" w:rsidRPr="00B77AE7" w:rsidRDefault="00515CCD" w:rsidP="008D17E5">
      <w:pPr>
        <w:pStyle w:val="CORPOHOMERO"/>
      </w:pPr>
      <w:r>
        <w:t xml:space="preserve">Em termos pecuniários a situação é ainda mais absurda, porque a parte demandante </w:t>
      </w:r>
      <w:r w:rsidR="008D17E5">
        <w:t>deveria pagar pela operação apenas o valor final de R$ XXXX,XX, porém a realidade do parecer anexo demonstra que ela já pagou superior a esse (R$ XXXX,XX) e a parte demandada ainda lhe imputa um débito de R$ XXXX,XX.</w:t>
      </w:r>
    </w:p>
    <w:p w14:paraId="579A28E3" w14:textId="77777777" w:rsidR="00515CCD" w:rsidRPr="00B77AE7" w:rsidRDefault="00515CCD" w:rsidP="00515CCD">
      <w:pPr>
        <w:pStyle w:val="CORPOHOMERO"/>
      </w:pPr>
      <w:r>
        <w:t>Essa abissal diferença é a grande prova da violação dos princípios bases da política nacional da relação de consumo por parte da Demandada, em especial a boa-fé objetiva e o equilíbrio na relação entre consumidores e fornecedores (art. 4º, III, CDC).</w:t>
      </w:r>
    </w:p>
    <w:p w14:paraId="501F6AF3" w14:textId="77777777" w:rsidR="00515CCD" w:rsidRPr="00B77AE7" w:rsidRDefault="00515CCD" w:rsidP="00515CCD">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6056C7FD" w14:textId="77777777" w:rsidR="00515CCD" w:rsidRPr="00B77AE7" w:rsidRDefault="00515CCD" w:rsidP="00515CCD">
      <w:pPr>
        <w:pStyle w:val="CORPOHOMERO"/>
      </w:pPr>
      <w:r w:rsidRPr="00B77AE7">
        <w:t xml:space="preserve">Por fim, é curial mencionar que </w:t>
      </w:r>
      <w:r w:rsidRPr="00B77AE7">
        <w:rPr>
          <w:b/>
          <w:bCs/>
        </w:rPr>
        <w:t>não existe a falácia propugnada pelas instituições financeiras</w:t>
      </w:r>
      <w:r w:rsidRPr="00B77AE7">
        <w:t xml:space="preserve"> de que o Superior Tribunal de Justiça pacificou entendimento de que a abusividade da taxa de juros remuneratórios somente será acolhida quando houver excesso de 50% ou da chamada uma vez e meia (excesso de 150%).</w:t>
      </w:r>
    </w:p>
    <w:p w14:paraId="7C431B55" w14:textId="77777777" w:rsidR="00515CCD" w:rsidRPr="00B77AE7" w:rsidRDefault="00515CCD" w:rsidP="00515CCD">
      <w:pPr>
        <w:pStyle w:val="CORPOHOMERO"/>
      </w:pPr>
      <w:r w:rsidRPr="00B77AE7">
        <w:t>O voto vencedor do recurso repetitivo</w:t>
      </w:r>
      <w:r w:rsidRPr="00B77AE7">
        <w:rPr>
          <w:rStyle w:val="Refdenotaderodap"/>
        </w:rPr>
        <w:footnoteReference w:id="7"/>
      </w:r>
      <w:r w:rsidRPr="00B77AE7">
        <w:t xml:space="preserve"> já citado no início deste tópico claramente assentou que: </w:t>
      </w:r>
      <w:r w:rsidRPr="18498DC6">
        <w:rPr>
          <w:i/>
          <w:iCs/>
        </w:rPr>
        <w:t xml:space="preserve">“esta perquirição acerca da abusividade não é estanque, o </w:t>
      </w:r>
      <w:r w:rsidRPr="18498DC6">
        <w:rPr>
          <w:i/>
          <w:iCs/>
          <w:u w:val="single"/>
        </w:rPr>
        <w:t xml:space="preserve">que </w:t>
      </w:r>
      <w:r w:rsidRPr="18498DC6">
        <w:rPr>
          <w:b/>
          <w:bCs/>
          <w:i/>
          <w:iCs/>
          <w:u w:val="single"/>
        </w:rPr>
        <w:t>im</w:t>
      </w:r>
      <w:r w:rsidRPr="18498DC6">
        <w:rPr>
          <w:i/>
          <w:iCs/>
          <w:u w:val="single"/>
        </w:rPr>
        <w:t>possibilita a adoção de critérios genéricos e universais</w:t>
      </w:r>
      <w:r w:rsidRPr="18498DC6">
        <w:rPr>
          <w:i/>
          <w:iCs/>
        </w:rPr>
        <w:t xml:space="preserve">. A taxa média de mercado, divulgada pelo Banco Central, constitui um valioso referencial, mas </w:t>
      </w:r>
      <w:r w:rsidRPr="18498DC6">
        <w:rPr>
          <w:i/>
          <w:iCs/>
          <w:u w:val="single"/>
        </w:rPr>
        <w:t>cabe somente ao juiz, no exame das peculiaridades do caso concreto, avaliar se os juros contratados foram ou não abusivos</w:t>
      </w:r>
      <w:r w:rsidRPr="18498DC6">
        <w:rPr>
          <w:i/>
          <w:iCs/>
        </w:rPr>
        <w:t>.” (g/n)</w:t>
      </w:r>
    </w:p>
    <w:p w14:paraId="357C97B2" w14:textId="77777777" w:rsidR="00515CCD" w:rsidRPr="00B77AE7" w:rsidRDefault="00515CCD" w:rsidP="00515CCD">
      <w:pPr>
        <w:pStyle w:val="CORPOHOMERO"/>
      </w:pPr>
      <w:r w:rsidRPr="00B77AE7">
        <w:t>Não bastasse isso, o Tribunal da Cidadania veio a rechaçar tese levantada em outro REsp</w:t>
      </w:r>
      <w:r w:rsidRPr="00B77AE7">
        <w:rPr>
          <w:rStyle w:val="Refdenotaderodap"/>
        </w:rPr>
        <w:footnoteReference w:id="8"/>
      </w:r>
      <w:r w:rsidRPr="00B77AE7">
        <w:t xml:space="preserve"> de que a abusividade somente ocorreria quando houvesse excesso em 50% da taxa média. Neste julgado, ficou consignado que não há qualquer padronização objetiva pelo STJ sobre o assunto, nem mesmo recurso repetitivo Resp 1.061.530/RS.</w:t>
      </w:r>
      <w:r w:rsidRPr="00B77AE7">
        <w:rPr>
          <w:rStyle w:val="Refdenotaderodap"/>
        </w:rPr>
        <w:footnoteReference w:id="9"/>
      </w:r>
    </w:p>
    <w:p w14:paraId="07D45F69" w14:textId="3D3200C0" w:rsidR="00515CCD" w:rsidRDefault="00515CCD" w:rsidP="00515CCD">
      <w:pPr>
        <w:pStyle w:val="CORPOHOMERO"/>
        <w:spacing w:after="0"/>
      </w:pPr>
      <w:r>
        <w:t xml:space="preserve">Por essas razões, </w:t>
      </w:r>
      <w:r w:rsidRPr="18498DC6">
        <w:rPr>
          <w:b/>
          <w:bCs/>
        </w:rPr>
        <w:t xml:space="preserve">há de se declarar a abusividade da </w:t>
      </w:r>
      <w:r w:rsidRPr="18498DC6">
        <w:rPr>
          <w:b/>
          <w:bCs/>
          <w:color w:val="FF0000"/>
        </w:rPr>
        <w:t xml:space="preserve">cláusula </w:t>
      </w:r>
      <w:r w:rsidR="00365D92">
        <w:rPr>
          <w:b/>
          <w:bCs/>
          <w:color w:val="FF0000"/>
        </w:rPr>
        <w:t>XXX</w:t>
      </w:r>
      <w:r>
        <w:t>,</w:t>
      </w:r>
      <w:r w:rsidR="008D17E5">
        <w:t xml:space="preserve"> </w:t>
      </w:r>
      <w:r>
        <w:t>determinando-se a redução da taxa de juros remuneratórios do contrato para a média de mercado</w:t>
      </w:r>
      <w:r w:rsidR="00FA3DD2">
        <w:t xml:space="preserve"> de empréstimos consignado, nos termos da planilha acima.</w:t>
      </w:r>
    </w:p>
    <w:p w14:paraId="67428406" w14:textId="77777777" w:rsidR="00E57D5E" w:rsidRDefault="00E57D5E" w:rsidP="00515CCD">
      <w:pPr>
        <w:pStyle w:val="CORPOHOMERO"/>
        <w:spacing w:after="0"/>
      </w:pPr>
    </w:p>
    <w:p w14:paraId="041A33AF" w14:textId="610D8759" w:rsidR="00E57D5E" w:rsidRPr="00BB3951" w:rsidRDefault="00E57D5E" w:rsidP="00E57D5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2</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Da abusividade da venda casada de seguro prestamista</w:t>
      </w:r>
    </w:p>
    <w:p w14:paraId="7C3D704D" w14:textId="77777777" w:rsidR="00E57D5E" w:rsidRDefault="00E57D5E" w:rsidP="00E57D5E">
      <w:pPr>
        <w:pStyle w:val="CORPOHOMERO"/>
      </w:pPr>
    </w:p>
    <w:p w14:paraId="5C0A2EDC" w14:textId="77777777" w:rsidR="00E57D5E" w:rsidRDefault="00E57D5E" w:rsidP="00E57D5E">
      <w:pPr>
        <w:pStyle w:val="CORPOHOMERO"/>
      </w:pPr>
      <w:r>
        <w:t>A contratação de seguro prestamista ou de proteção financeira está sacramentada em sede de recurso especial repetitivo</w:t>
      </w:r>
      <w:r w:rsidRPr="18498DC6">
        <w:rPr>
          <w:rStyle w:val="Refdenotaderodap"/>
          <w:rFonts w:asciiTheme="minorHAnsi" w:hAnsiTheme="minorHAnsi" w:cstheme="minorBidi"/>
          <w:sz w:val="24"/>
          <w:szCs w:val="24"/>
        </w:rPr>
        <w:footnoteReference w:id="10"/>
      </w:r>
      <w:r>
        <w:t xml:space="preserve">, o qual </w:t>
      </w:r>
      <w:r w:rsidRPr="00ED4E98">
        <w:rPr>
          <w:b/>
          <w:bCs/>
        </w:rPr>
        <w:t>fixa como essência a liberdade de escolha consumidor</w:t>
      </w:r>
      <w:r>
        <w:t xml:space="preserve">, ou seja, o consumidor </w:t>
      </w:r>
      <w:r w:rsidRPr="00ED4E98">
        <w:rPr>
          <w:u w:val="single"/>
        </w:rPr>
        <w:t xml:space="preserve">não pode ser obrigado a contratar um seguro </w:t>
      </w:r>
      <w:r>
        <w:t xml:space="preserve">prestamista ou de proteção financeira como condição de conclusão do mútuo bancário. Além disso, se o consumidor entender que é o caso de contratar o seguro, </w:t>
      </w:r>
      <w:r w:rsidRPr="00ED4E98">
        <w:rPr>
          <w:u w:val="single"/>
        </w:rPr>
        <w:t>também deverá ter a liberdade de escolha da seguradora</w:t>
      </w:r>
      <w:r>
        <w:t>. Isso decorre da lógica do art. 39, I, do CDC, que veda a prática da chamada venda casada.</w:t>
      </w:r>
    </w:p>
    <w:p w14:paraId="0DB4958D" w14:textId="77777777" w:rsidR="00E57D5E" w:rsidRDefault="00E57D5E" w:rsidP="00E57D5E">
      <w:pPr>
        <w:pStyle w:val="CORPOHOMERO"/>
      </w:pPr>
      <w:r>
        <w:t xml:space="preserve">No caso em destaque, </w:t>
      </w:r>
      <w:r w:rsidRPr="002F0A6E">
        <w:rPr>
          <w:b/>
          <w:bCs/>
          <w:u w:val="single"/>
        </w:rPr>
        <w:t>a parte demandante nunca celebrou contrato de seguro com a parte demandada,</w:t>
      </w:r>
      <w:r>
        <w:t xml:space="preserve"> de modo que a cobrança de todos os valores constantes das faturas anexas, a título de seguro prestamista ou de proteção financeira, devem ser reputados abusivos, pois não houver qualquer liberdade na contratação. O valor foi acrescentado nas faturas mensais sem qualquer contrato com a parte autora.</w:t>
      </w:r>
    </w:p>
    <w:p w14:paraId="63D9FDB7" w14:textId="77777777" w:rsidR="00E57D5E" w:rsidRDefault="00E57D5E" w:rsidP="00E57D5E">
      <w:pPr>
        <w:pStyle w:val="CORPOHOMERO"/>
      </w:pPr>
      <w:r>
        <w:t xml:space="preserve">Consoante planilha anexa, </w:t>
      </w:r>
      <w:r w:rsidRPr="002544FA">
        <w:rPr>
          <w:u w:val="single"/>
        </w:rPr>
        <w:t>foi cobrado o valor total de seguro de R$ XXXX,XXX (POR EXTENSO),</w:t>
      </w:r>
      <w:r>
        <w:t xml:space="preserve"> os quais não podem compor a base de cálculo do valor total financiado na hora conversão do saque em empréstimo.</w:t>
      </w:r>
    </w:p>
    <w:p w14:paraId="3CE737DD" w14:textId="77777777" w:rsidR="00E57D5E" w:rsidRDefault="00E57D5E" w:rsidP="00E57D5E">
      <w:pPr>
        <w:pStyle w:val="CORPOHOMERO"/>
        <w:rPr>
          <w:i/>
          <w:iCs/>
        </w:rPr>
      </w:pPr>
      <w:r>
        <w:t xml:space="preserve">A par disso, </w:t>
      </w:r>
      <w:r w:rsidRPr="18498DC6">
        <w:rPr>
          <w:b/>
          <w:bCs/>
        </w:rPr>
        <w:t xml:space="preserve">merece ser declarada como abusiva a cobrança de seguro </w:t>
      </w:r>
      <w:r>
        <w:rPr>
          <w:b/>
          <w:bCs/>
        </w:rPr>
        <w:t xml:space="preserve">prestamista ou de proteção financeira </w:t>
      </w:r>
      <w:r w:rsidRPr="18498DC6">
        <w:rPr>
          <w:b/>
          <w:bCs/>
        </w:rPr>
        <w:t>no caso present</w:t>
      </w:r>
      <w:r w:rsidRPr="002544FA">
        <w:rPr>
          <w:b/>
          <w:bCs/>
        </w:rPr>
        <w:t>e</w:t>
      </w:r>
      <w:r w:rsidRPr="002544FA">
        <w:rPr>
          <w:i/>
          <w:iCs/>
        </w:rPr>
        <w:t>.</w:t>
      </w:r>
    </w:p>
    <w:p w14:paraId="156D63F9" w14:textId="77777777" w:rsidR="0061535E" w:rsidRDefault="0061535E" w:rsidP="00E57D5E">
      <w:pPr>
        <w:pStyle w:val="CORPOHOMERO"/>
        <w:rPr>
          <w:i/>
          <w:iCs/>
        </w:rPr>
      </w:pPr>
    </w:p>
    <w:p w14:paraId="08F07FA6" w14:textId="77777777" w:rsidR="0061535E" w:rsidRPr="00BB3951" w:rsidRDefault="0061535E" w:rsidP="0061535E">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 Das obrigações controvertidas e da quantificação do valor incontroverso (art. 330, §2º, CPC):</w:t>
      </w:r>
    </w:p>
    <w:p w14:paraId="0D5DBDFA" w14:textId="77777777" w:rsidR="0061535E" w:rsidRPr="00BB3951" w:rsidRDefault="0061535E" w:rsidP="0061535E">
      <w:pPr>
        <w:tabs>
          <w:tab w:val="left" w:pos="2160"/>
        </w:tabs>
        <w:spacing w:after="0" w:line="360" w:lineRule="auto"/>
        <w:ind w:firstLine="1985"/>
        <w:jc w:val="both"/>
        <w:rPr>
          <w:rFonts w:asciiTheme="minorHAnsi" w:hAnsiTheme="minorHAnsi" w:cstheme="minorHAnsi"/>
          <w:sz w:val="24"/>
          <w:szCs w:val="24"/>
        </w:rPr>
      </w:pPr>
    </w:p>
    <w:p w14:paraId="604DDBE9" w14:textId="77777777" w:rsidR="0061535E" w:rsidRPr="00BB3951" w:rsidRDefault="0061535E" w:rsidP="0061535E">
      <w:pPr>
        <w:pStyle w:val="CORPOHOMERO"/>
      </w:pPr>
      <w:r w:rsidRPr="00BB3951">
        <w:t>As cláusulas contratuais objeto desta ação já estão anunciadas nas linhas volvidas.</w:t>
      </w:r>
    </w:p>
    <w:p w14:paraId="25FA6D69" w14:textId="3D56AC9D" w:rsidR="0061535E" w:rsidRDefault="0061535E" w:rsidP="0061535E">
      <w:pPr>
        <w:pStyle w:val="CORPOHOMERO"/>
        <w:rPr>
          <w:sz w:val="20"/>
          <w:szCs w:val="20"/>
        </w:rPr>
      </w:pPr>
      <w:r w:rsidRPr="00BB3951">
        <w:t xml:space="preserve">Em decorrência das abusividades contratuais apontadas nesta ação, </w:t>
      </w:r>
      <w:r>
        <w:t xml:space="preserve">apresenta-se em anexo a memória de cálculo detalhada para se indicar que </w:t>
      </w:r>
      <w:r w:rsidR="0014386B">
        <w:t xml:space="preserve">a parte autora não possui qualquer débito para com a demandada, porque </w:t>
      </w:r>
      <w:r w:rsidR="00115028">
        <w:t xml:space="preserve">já pagou integralmente as operações por meio dos descontos via RMC, que totalizaram a quantia de R$ </w:t>
      </w:r>
      <w:proofErr w:type="spellStart"/>
      <w:r w:rsidR="00115028">
        <w:t>xxxxx,xxx</w:t>
      </w:r>
      <w:proofErr w:type="spellEnd"/>
      <w:r w:rsidR="00115028">
        <w:t>.</w:t>
      </w:r>
      <w:r w:rsidR="000A17B0">
        <w:t xml:space="preserve"> Portanto, esse é o valo incontroverso </w:t>
      </w:r>
      <w:r w:rsidRPr="0084448E">
        <w:t xml:space="preserve">para fins do </w:t>
      </w:r>
      <w:r>
        <w:t>art. 330, §3º, CPC.</w:t>
      </w:r>
      <w:r w:rsidRPr="18498DC6">
        <w:rPr>
          <w:sz w:val="20"/>
          <w:szCs w:val="20"/>
        </w:rPr>
        <w:t xml:space="preserve"> </w:t>
      </w:r>
    </w:p>
    <w:p w14:paraId="134420FA" w14:textId="77777777" w:rsidR="0061535E" w:rsidRDefault="0061535E" w:rsidP="0061535E">
      <w:pPr>
        <w:pStyle w:val="CORPOHOMERO"/>
      </w:pPr>
    </w:p>
    <w:p w14:paraId="37B1C367" w14:textId="77777777" w:rsidR="0061535E" w:rsidRDefault="0061535E" w:rsidP="0061535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 4. Afastamento da mora:</w:t>
      </w:r>
    </w:p>
    <w:p w14:paraId="39A2232E" w14:textId="77777777" w:rsidR="0061535E" w:rsidRDefault="0061535E" w:rsidP="0061535E">
      <w:pPr>
        <w:pStyle w:val="CORPOHOMERO"/>
      </w:pPr>
      <w:r>
        <w:t xml:space="preserve">O Superior Tribunal de Justiça já fixou </w:t>
      </w:r>
      <w:r>
        <w:rPr>
          <w:u w:val="single"/>
        </w:rPr>
        <w:t>tese repetitiva</w:t>
      </w:r>
      <w:r>
        <w:t xml:space="preserve"> de que a revisão dos </w:t>
      </w:r>
      <w:r>
        <w:rPr>
          <w:b/>
          <w:bCs/>
        </w:rPr>
        <w:t>juros remuneratórios</w:t>
      </w:r>
      <w:r>
        <w:t xml:space="preserve"> e/ou da </w:t>
      </w:r>
      <w:r>
        <w:rPr>
          <w:b/>
          <w:bCs/>
        </w:rPr>
        <w:t xml:space="preserve">capitalização de juros </w:t>
      </w:r>
      <w:r>
        <w:t>afasta a mora do consumidor.</w:t>
      </w:r>
      <w:r>
        <w:rPr>
          <w:rStyle w:val="Refdenotaderodap"/>
          <w:rFonts w:asciiTheme="minorHAnsi" w:hAnsiTheme="minorHAnsi" w:cstheme="minorBidi"/>
          <w:sz w:val="24"/>
          <w:szCs w:val="24"/>
        </w:rPr>
        <w:footnoteReference w:id="11"/>
      </w:r>
    </w:p>
    <w:p w14:paraId="1C2C709B" w14:textId="4128C7F8" w:rsidR="0061535E" w:rsidRDefault="0061535E" w:rsidP="0061535E">
      <w:pPr>
        <w:pStyle w:val="CORPOHOMERO"/>
      </w:pPr>
      <w:r>
        <w:t xml:space="preserve">O </w:t>
      </w:r>
      <w:r>
        <w:rPr>
          <w:b/>
          <w:bCs/>
        </w:rPr>
        <w:t>debate desta ação</w:t>
      </w:r>
      <w:r>
        <w:t xml:space="preserve"> envolve justamente </w:t>
      </w:r>
      <w:r>
        <w:rPr>
          <w:u w:val="single"/>
        </w:rPr>
        <w:t>encargos do período da normalidade contratual</w:t>
      </w:r>
      <w:r>
        <w:t>, isto é, juros remuneratórios. Mais do que isso. Está demonstrada a clara abusividade dos encargos.</w:t>
      </w:r>
    </w:p>
    <w:p w14:paraId="6FE8BC6D" w14:textId="77777777" w:rsidR="0061535E" w:rsidRDefault="0061535E" w:rsidP="0061535E">
      <w:pPr>
        <w:pStyle w:val="CORPOHOMERO"/>
        <w:rPr>
          <w:rFonts w:ascii="Times New Roman" w:eastAsia="SimSun" w:hAnsi="Times New Roman"/>
          <w:sz w:val="24"/>
          <w:szCs w:val="24"/>
          <w:lang w:eastAsia="pt-BR"/>
        </w:rPr>
      </w:pPr>
      <w:r>
        <w:t xml:space="preserve">Logo, com a procedência desse pedido, </w:t>
      </w:r>
      <w:r>
        <w:rPr>
          <w:b/>
          <w:bCs/>
        </w:rPr>
        <w:t xml:space="preserve">deve ser acolhido o pedido para afastar a mora </w:t>
      </w:r>
      <w:r>
        <w:rPr>
          <w:b/>
          <w:bCs/>
          <w:i/>
          <w:iCs/>
        </w:rPr>
        <w:t>debendi</w:t>
      </w:r>
      <w:r>
        <w:rPr>
          <w:i/>
          <w:iCs/>
        </w:rPr>
        <w:t xml:space="preserve"> </w:t>
      </w:r>
      <w:r>
        <w:t xml:space="preserve">a partir da data em que restou vencido o contrato sem a devida cobertura do saldo devedor do cheque especial, assim permanecendo até o final julgamento definitivo da demanda. </w:t>
      </w:r>
    </w:p>
    <w:p w14:paraId="2872C4DD" w14:textId="77777777" w:rsidR="00E57D5E" w:rsidRDefault="00E57D5E" w:rsidP="00515CCD">
      <w:pPr>
        <w:pStyle w:val="CORPOHOMERO"/>
        <w:spacing w:after="0"/>
      </w:pPr>
    </w:p>
    <w:p w14:paraId="7D79CC53" w14:textId="7C0BC1AC" w:rsidR="009709EB" w:rsidRPr="00BB3951" w:rsidRDefault="008426E3" w:rsidP="009709E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w:t>
      </w:r>
      <w:r w:rsidR="00E57D5E">
        <w:rPr>
          <w:rFonts w:asciiTheme="minorHAnsi" w:hAnsiTheme="minorHAnsi" w:cstheme="minorHAnsi"/>
          <w:b/>
          <w:sz w:val="24"/>
          <w:szCs w:val="24"/>
          <w:u w:val="single"/>
        </w:rPr>
        <w:t>I</w:t>
      </w:r>
      <w:r w:rsidR="009709EB" w:rsidRPr="00BB3951">
        <w:rPr>
          <w:rFonts w:asciiTheme="minorHAnsi" w:hAnsiTheme="minorHAnsi" w:cstheme="minorHAnsi"/>
          <w:b/>
          <w:sz w:val="24"/>
          <w:szCs w:val="24"/>
          <w:u w:val="single"/>
        </w:rPr>
        <w:t xml:space="preserve">. </w:t>
      </w:r>
      <w:r w:rsidR="000A17B0">
        <w:rPr>
          <w:rFonts w:asciiTheme="minorHAnsi" w:hAnsiTheme="minorHAnsi" w:cstheme="minorHAnsi"/>
          <w:b/>
          <w:sz w:val="24"/>
          <w:szCs w:val="24"/>
          <w:u w:val="single"/>
        </w:rPr>
        <w:t>5</w:t>
      </w:r>
      <w:r w:rsidR="009709EB" w:rsidRPr="00BB3951">
        <w:rPr>
          <w:rFonts w:asciiTheme="minorHAnsi" w:hAnsiTheme="minorHAnsi" w:cstheme="minorHAnsi"/>
          <w:b/>
          <w:sz w:val="24"/>
          <w:szCs w:val="24"/>
          <w:u w:val="single"/>
        </w:rPr>
        <w:t>.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77777777" w:rsidR="009709EB" w:rsidRPr="00BB3951" w:rsidRDefault="009709EB" w:rsidP="009709EB">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3245C82C" w14:textId="70BD25F0" w:rsidR="009709EB" w:rsidRDefault="009709EB" w:rsidP="009709EB">
      <w:pPr>
        <w:pStyle w:val="CORPOHOMERO"/>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12"/>
      </w:r>
      <w:r w:rsidRPr="00BB3951">
        <w:t xml:space="preserve"> à parte autora, a título de repetição de indébito, a quantia que pagou a mais em relação ao contrato questionado, o que será apurado em posterior liquidação de sentença.</w:t>
      </w:r>
    </w:p>
    <w:p w14:paraId="0E88D615" w14:textId="77777777" w:rsidR="000A17B0" w:rsidRDefault="000A17B0" w:rsidP="18498DC6">
      <w:pPr>
        <w:tabs>
          <w:tab w:val="left" w:pos="2160"/>
        </w:tabs>
        <w:spacing w:after="0" w:line="360" w:lineRule="auto"/>
        <w:ind w:firstLine="567"/>
        <w:jc w:val="both"/>
        <w:rPr>
          <w:rFonts w:asciiTheme="minorHAnsi" w:hAnsiTheme="minorHAnsi" w:cstheme="minorBidi"/>
          <w:b/>
          <w:bCs/>
          <w:sz w:val="24"/>
          <w:szCs w:val="24"/>
          <w:u w:val="single"/>
        </w:rPr>
      </w:pPr>
    </w:p>
    <w:p w14:paraId="7A8DA18E" w14:textId="63235C3B" w:rsidR="000F5A50" w:rsidRPr="00BB3951" w:rsidRDefault="008426E3" w:rsidP="18498DC6">
      <w:pPr>
        <w:tabs>
          <w:tab w:val="left" w:pos="2160"/>
        </w:tabs>
        <w:spacing w:after="0" w:line="360" w:lineRule="auto"/>
        <w:ind w:firstLine="567"/>
        <w:jc w:val="both"/>
        <w:rPr>
          <w:rFonts w:asciiTheme="minorHAnsi" w:hAnsiTheme="minorHAnsi" w:cstheme="minorBidi"/>
          <w:b/>
          <w:bCs/>
          <w:sz w:val="24"/>
          <w:szCs w:val="24"/>
          <w:u w:val="single"/>
        </w:rPr>
      </w:pPr>
      <w:r>
        <w:rPr>
          <w:rFonts w:asciiTheme="minorHAnsi" w:hAnsiTheme="minorHAnsi" w:cstheme="minorBidi"/>
          <w:b/>
          <w:bCs/>
          <w:sz w:val="24"/>
          <w:szCs w:val="24"/>
          <w:u w:val="single"/>
        </w:rPr>
        <w:t>I</w:t>
      </w:r>
      <w:r w:rsidR="00E57D5E">
        <w:rPr>
          <w:rFonts w:asciiTheme="minorHAnsi" w:hAnsiTheme="minorHAnsi" w:cstheme="minorBidi"/>
          <w:b/>
          <w:bCs/>
          <w:sz w:val="24"/>
          <w:szCs w:val="24"/>
          <w:u w:val="single"/>
        </w:rPr>
        <w:t>I</w:t>
      </w:r>
      <w:r w:rsidR="18498DC6" w:rsidRPr="18498DC6">
        <w:rPr>
          <w:rFonts w:asciiTheme="minorHAnsi" w:hAnsiTheme="minorHAnsi" w:cstheme="minorBidi"/>
          <w:b/>
          <w:bCs/>
          <w:sz w:val="24"/>
          <w:szCs w:val="24"/>
          <w:u w:val="single"/>
        </w:rPr>
        <w:t xml:space="preserve">. </w:t>
      </w:r>
      <w:r w:rsidR="000A17B0">
        <w:rPr>
          <w:rFonts w:asciiTheme="minorHAnsi" w:hAnsiTheme="minorHAnsi" w:cstheme="minorBidi"/>
          <w:b/>
          <w:bCs/>
          <w:sz w:val="24"/>
          <w:szCs w:val="24"/>
          <w:u w:val="single"/>
        </w:rPr>
        <w:t>6</w:t>
      </w:r>
      <w:r w:rsidR="18498DC6"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5DE5FF86" w14:textId="77777777" w:rsidR="001F3FA0" w:rsidRPr="00BB3951" w:rsidRDefault="001F3FA0" w:rsidP="001F3FA0">
      <w:pPr>
        <w:pStyle w:val="CORPOHOMERO"/>
      </w:pPr>
      <w:r>
        <w:t xml:space="preserve">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 </w:t>
      </w:r>
    </w:p>
    <w:p w14:paraId="5B889BA2" w14:textId="77777777" w:rsidR="001F3FA0" w:rsidRPr="00BB3951" w:rsidRDefault="001F3FA0" w:rsidP="001F3FA0">
      <w:pPr>
        <w:pStyle w:val="CORPOHOMERO"/>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Aqui incide sobre o Consumidor a plena dificuldade de produzir provas em seu favor, uma vez que a parte autora </w:t>
      </w:r>
      <w:r w:rsidRPr="18498DC6">
        <w:rPr>
          <w:u w:val="single"/>
        </w:rPr>
        <w:t>não tem a mínima condição de demonstrar que há justificativa concreta que dá suporte à taxa de juros praticada</w:t>
      </w:r>
      <w:r>
        <w:t xml:space="preserve">. Ao contrário, é impossível ao consumidor provar o chamado spread bancário, pois essa informação está no domínio única da parte ré. </w:t>
      </w:r>
    </w:p>
    <w:p w14:paraId="22C77B88" w14:textId="77777777" w:rsidR="001F3FA0" w:rsidRPr="00BB3951" w:rsidRDefault="001F3FA0" w:rsidP="001F3FA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59DAD68A" w14:textId="77777777" w:rsidR="001F3FA0" w:rsidRPr="00BB3951" w:rsidRDefault="001F3FA0" w:rsidP="001F3FA0">
      <w:pPr>
        <w:pStyle w:val="CORPOHOMERO"/>
      </w:pPr>
      <w:r w:rsidRPr="00BB3951">
        <w:t>Deixar o ônus para o consumidor neste caso é tornar a prova impossível, o que não se compraz com o mandado constitucional de proteção do consumidor.</w:t>
      </w:r>
    </w:p>
    <w:p w14:paraId="00F2D572" w14:textId="630A2A22" w:rsidR="00014E9D" w:rsidRDefault="00014E9D" w:rsidP="001F3FA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3"/>
      </w:r>
      <w:r w:rsidRPr="00BB3951">
        <w:t>.</w:t>
      </w:r>
    </w:p>
    <w:p w14:paraId="46ADCA3C" w14:textId="77777777" w:rsidR="00E31317" w:rsidRPr="00BB3951" w:rsidRDefault="00E31317" w:rsidP="18498DC6">
      <w:pPr>
        <w:tabs>
          <w:tab w:val="left" w:pos="2160"/>
        </w:tabs>
        <w:spacing w:after="0" w:line="360" w:lineRule="auto"/>
        <w:ind w:firstLine="1985"/>
        <w:jc w:val="both"/>
      </w:pPr>
    </w:p>
    <w:p w14:paraId="3F351DDD" w14:textId="324EC5A0" w:rsidR="000F5A50" w:rsidRPr="00BB3951" w:rsidRDefault="00B45CD4"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Pr>
          <w:rFonts w:asciiTheme="minorHAnsi" w:hAnsiTheme="minorHAnsi" w:cstheme="minorBidi"/>
          <w:b/>
          <w:bCs/>
          <w:sz w:val="24"/>
          <w:szCs w:val="24"/>
        </w:rPr>
        <w:t>III</w:t>
      </w:r>
      <w:r w:rsidR="18498DC6" w:rsidRPr="18498DC6">
        <w:rPr>
          <w:rFonts w:asciiTheme="minorHAnsi" w:hAnsiTheme="minorHAnsi" w:cstheme="minorBidi"/>
          <w:b/>
          <w:bCs/>
          <w:sz w:val="24"/>
          <w:szCs w:val="24"/>
        </w:rPr>
        <w:t xml:space="preserve">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3D4EBFB7" w14:textId="1736BCAC" w:rsidR="00FF1296"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w:t>
      </w:r>
      <w:r w:rsidR="00FF1296">
        <w:t xml:space="preserve">Ou seja, </w:t>
      </w:r>
      <w:r w:rsidR="00FF1296" w:rsidRPr="18498DC6">
        <w:rPr>
          <w:u w:val="single"/>
        </w:rPr>
        <w:t>há evidências de que os juros praticados no contrato questionado nesta ação são completamente abusivos</w:t>
      </w:r>
      <w:r w:rsidR="00FF1296">
        <w:t xml:space="preserve">, eis que sobejam muito a taxa média divulgada pelo Banco Central do Brasil, tanto que o saldo devedor reduzirá ao final deste processo para o valor de R$ </w:t>
      </w:r>
      <w:proofErr w:type="spellStart"/>
      <w:r w:rsidR="00FF1296">
        <w:t>xxx,xx</w:t>
      </w:r>
      <w:proofErr w:type="spellEnd"/>
      <w:r w:rsidR="00FF1296">
        <w:t>.</w:t>
      </w:r>
    </w:p>
    <w:p w14:paraId="319AC6E5" w14:textId="7470C446" w:rsidR="00FF0E76" w:rsidRPr="00BB3951" w:rsidRDefault="00FF0E76" w:rsidP="00FF0E76">
      <w:pPr>
        <w:pStyle w:val="CORPOHOMERO"/>
      </w:pPr>
      <w:r>
        <w:t>Ora, é evidente o direito da parte demandante à revisão da taxa de juros remuneratórios, não é razoável que se imponha ao demandante a obrigação de suportar débitos em sua conta, inclusive de recursos que são fruto de salário, em valores superiores ao devido e justo.</w:t>
      </w:r>
    </w:p>
    <w:p w14:paraId="22E65C08" w14:textId="6725A9C6" w:rsidR="00C854EE" w:rsidRDefault="00726DB9" w:rsidP="00E262D7">
      <w:pPr>
        <w:pStyle w:val="CORPOHOMERO"/>
      </w:pPr>
      <w:r>
        <w:t xml:space="preserve">Então, o perigo de dano </w:t>
      </w:r>
      <w:r w:rsidR="00F91DC3">
        <w:t xml:space="preserve">decorre </w:t>
      </w:r>
      <w:r w:rsidR="00501808">
        <w:t xml:space="preserve">da onerosidade excessiva que a parte demandante terá de suportar se não forem suspensos os descontos do seu benefício previdenciário, o que acaba por prejudicar o seu mínimo existencial. </w:t>
      </w:r>
    </w:p>
    <w:p w14:paraId="5E7C3786" w14:textId="2C826EEE"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2D39643" w14:textId="14219645" w:rsidR="003567D6" w:rsidRPr="00BB3951" w:rsidRDefault="003567D6" w:rsidP="003567D6">
      <w:pPr>
        <w:pStyle w:val="CORPOHOMERO"/>
      </w:pPr>
      <w:r>
        <w:t xml:space="preserve">Dessa arte, merece ser concedida a tutela de urgência satisfativa (antecipada) no caso presente, para determinar que </w:t>
      </w:r>
      <w:r w:rsidRPr="18498DC6">
        <w:rPr>
          <w:b/>
          <w:bCs/>
        </w:rPr>
        <w:t xml:space="preserve">a Demandada </w:t>
      </w:r>
      <w:r>
        <w:rPr>
          <w:b/>
          <w:bCs/>
        </w:rPr>
        <w:t xml:space="preserve">se abstenha de debitar no benefício de previdência do INSS </w:t>
      </w:r>
      <w:r w:rsidR="00075FE2">
        <w:rPr>
          <w:b/>
          <w:bCs/>
        </w:rPr>
        <w:t xml:space="preserve">a </w:t>
      </w:r>
      <w:r>
        <w:rPr>
          <w:b/>
          <w:bCs/>
        </w:rPr>
        <w:t>quantia correspondente à reserva de margem consignável.</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080526B6" w:rsidR="000F5A50" w:rsidRPr="00BB3951" w:rsidRDefault="00AD7A94"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Pr>
          <w:rFonts w:asciiTheme="minorHAnsi" w:hAnsiTheme="minorHAnsi" w:cstheme="minorBidi"/>
          <w:b/>
          <w:bCs/>
          <w:sz w:val="24"/>
          <w:szCs w:val="24"/>
        </w:rPr>
        <w:t>IV</w:t>
      </w:r>
      <w:r w:rsidR="18498DC6" w:rsidRPr="18498DC6">
        <w:rPr>
          <w:rFonts w:asciiTheme="minorHAnsi" w:hAnsiTheme="minorHAnsi" w:cstheme="minorBidi"/>
          <w:b/>
          <w:bCs/>
          <w:sz w:val="24"/>
          <w:szCs w:val="24"/>
        </w:rPr>
        <w:t xml:space="preserve">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16E3E81F"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commentRangeStart w:id="2"/>
      <w:r w:rsidRPr="00B42374">
        <w:rPr>
          <w:rFonts w:asciiTheme="minorHAnsi" w:hAnsiTheme="minorHAnsi" w:cstheme="minorBidi"/>
          <w:sz w:val="20"/>
          <w:szCs w:val="20"/>
        </w:rPr>
        <w:t xml:space="preserve">determinar </w:t>
      </w:r>
      <w:r w:rsidR="00EE6242">
        <w:rPr>
          <w:rFonts w:asciiTheme="minorHAnsi" w:hAnsiTheme="minorHAnsi" w:cstheme="minorBidi"/>
          <w:sz w:val="20"/>
          <w:szCs w:val="20"/>
        </w:rPr>
        <w:t>a suspensão dos descontos</w:t>
      </w:r>
      <w:r w:rsidR="007E6AAA">
        <w:rPr>
          <w:rFonts w:asciiTheme="minorHAnsi" w:hAnsiTheme="minorHAnsi" w:cstheme="minorBidi"/>
          <w:sz w:val="20"/>
          <w:szCs w:val="20"/>
        </w:rPr>
        <w:t>, a título de reserva de margem consignável – RMC, do benefício do INSS da parte demandante (NB nº XXXXXX),</w:t>
      </w:r>
      <w:r w:rsidR="00501F91">
        <w:rPr>
          <w:rFonts w:asciiTheme="minorHAnsi" w:hAnsiTheme="minorHAnsi" w:cstheme="minorBidi"/>
          <w:sz w:val="20"/>
          <w:szCs w:val="20"/>
        </w:rPr>
        <w:t xml:space="preserve"> com a fixação de prazo para a demandada de</w:t>
      </w:r>
      <w:r w:rsidR="007E6AAA">
        <w:rPr>
          <w:rFonts w:asciiTheme="minorHAnsi" w:hAnsiTheme="minorHAnsi" w:cstheme="minorBidi"/>
          <w:sz w:val="20"/>
          <w:szCs w:val="20"/>
        </w:rPr>
        <w:t xml:space="preserve"> prazo de </w:t>
      </w:r>
      <w:r w:rsidR="00DC4045">
        <w:rPr>
          <w:rFonts w:asciiTheme="minorHAnsi" w:hAnsiTheme="minorHAnsi" w:cstheme="minorBidi"/>
          <w:sz w:val="20"/>
          <w:szCs w:val="20"/>
        </w:rPr>
        <w:t>5 dias, dada a premência do próximo desconto</w:t>
      </w:r>
      <w:r>
        <w:rPr>
          <w:rFonts w:asciiTheme="minorHAnsi" w:hAnsiTheme="minorHAnsi" w:cstheme="minorBidi"/>
          <w:sz w:val="20"/>
          <w:szCs w:val="20"/>
        </w:rPr>
        <w:t>;</w:t>
      </w:r>
      <w:commentRangeEnd w:id="2"/>
      <w:r w:rsidR="00F035E7">
        <w:rPr>
          <w:rStyle w:val="Refdecomentrio"/>
        </w:rPr>
        <w:commentReference w:id="2"/>
      </w:r>
    </w:p>
    <w:p w14:paraId="474CF62F" w14:textId="012533C8" w:rsidR="00B63098" w:rsidRDefault="00B63098" w:rsidP="00012727">
      <w:pPr>
        <w:pStyle w:val="PargrafodaLista"/>
        <w:numPr>
          <w:ilvl w:val="2"/>
          <w:numId w:val="9"/>
        </w:numPr>
        <w:spacing w:after="0"/>
        <w:ind w:left="2552"/>
        <w:jc w:val="both"/>
        <w:rPr>
          <w:rFonts w:asciiTheme="minorHAnsi" w:hAnsiTheme="minorHAnsi" w:cstheme="minorBidi"/>
          <w:sz w:val="20"/>
          <w:szCs w:val="20"/>
        </w:rPr>
      </w:pPr>
      <w:r>
        <w:rPr>
          <w:rFonts w:asciiTheme="minorHAnsi" w:hAnsiTheme="minorHAnsi" w:cstheme="minorBidi"/>
          <w:sz w:val="20"/>
          <w:szCs w:val="20"/>
        </w:rPr>
        <w:t xml:space="preserve">determinar que a parte ré se abstenha de promover qualquer tipo de medida extrajudicial ou judicial </w:t>
      </w:r>
      <w:r w:rsidR="00E30E51">
        <w:rPr>
          <w:rFonts w:asciiTheme="minorHAnsi" w:hAnsiTheme="minorHAnsi" w:cstheme="minorBidi"/>
          <w:sz w:val="20"/>
          <w:szCs w:val="20"/>
        </w:rPr>
        <w:t xml:space="preserve">coercitiva ou </w:t>
      </w:r>
      <w:r w:rsidR="008A28FD">
        <w:rPr>
          <w:rFonts w:asciiTheme="minorHAnsi" w:hAnsiTheme="minorHAnsi" w:cstheme="minorBidi"/>
          <w:sz w:val="20"/>
          <w:szCs w:val="20"/>
        </w:rPr>
        <w:t>de cobrança dos valores relativos ao contrato objeto desta ação;</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04CA442"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181637E" w14:textId="22E309A1" w:rsidR="00F77EC3" w:rsidRPr="00F77EC3" w:rsidRDefault="00F77EC3" w:rsidP="00242690">
      <w:pPr>
        <w:pStyle w:val="PargrafodaLista"/>
        <w:numPr>
          <w:ilvl w:val="0"/>
          <w:numId w:val="9"/>
        </w:numPr>
        <w:spacing w:after="0"/>
        <w:ind w:left="2552"/>
        <w:jc w:val="both"/>
        <w:rPr>
          <w:rFonts w:asciiTheme="minorHAnsi" w:hAnsiTheme="minorHAnsi" w:cstheme="minorBidi"/>
          <w:sz w:val="20"/>
          <w:szCs w:val="20"/>
        </w:rPr>
      </w:pPr>
      <w:r w:rsidRPr="00F77EC3">
        <w:rPr>
          <w:rFonts w:asciiTheme="minorHAnsi" w:hAnsiTheme="minorHAnsi" w:cstheme="minorBidi"/>
          <w:b/>
          <w:bCs/>
          <w:sz w:val="20"/>
          <w:szCs w:val="20"/>
        </w:rPr>
        <w:t>Declarar</w:t>
      </w:r>
      <w:r>
        <w:rPr>
          <w:rFonts w:asciiTheme="minorHAnsi" w:hAnsiTheme="minorHAnsi" w:cstheme="minorBidi"/>
          <w:sz w:val="20"/>
          <w:szCs w:val="20"/>
        </w:rPr>
        <w:t xml:space="preserve"> a abusividade da taxa de juros remuneratórios (normalidade e mora) cobrada em cada uma das faturas do período de 25/03/2016 a 31/12/2021, substituindo-as pela taxa média de mercado divulgada pelo Bacen para empréstimo consignados vinculados ao INSS, conforme parecer anexo;</w:t>
      </w:r>
    </w:p>
    <w:p w14:paraId="47AC8026" w14:textId="4ADCBE67" w:rsidR="002D1DD4" w:rsidRDefault="002D1DD4" w:rsidP="00242690">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Declarar </w:t>
      </w:r>
      <w:r>
        <w:rPr>
          <w:rFonts w:asciiTheme="minorHAnsi" w:hAnsiTheme="minorHAnsi" w:cstheme="minorBidi"/>
          <w:sz w:val="20"/>
          <w:szCs w:val="20"/>
        </w:rPr>
        <w:t>abusiva a cobrança de seguro prestamista ou de proteção financeira, expungindo do cálculo do valor total financiado todos os valores cobrados a esse título durante a vigência do contrato</w:t>
      </w:r>
      <w:r w:rsidR="00AE4A40">
        <w:rPr>
          <w:rFonts w:asciiTheme="minorHAnsi" w:hAnsiTheme="minorHAnsi" w:cstheme="minorBidi"/>
          <w:sz w:val="20"/>
          <w:szCs w:val="20"/>
        </w:rPr>
        <w:t>;</w:t>
      </w:r>
    </w:p>
    <w:p w14:paraId="786BEC20" w14:textId="779B81D8" w:rsidR="00D4325B"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sz w:val="20"/>
          <w:szCs w:val="20"/>
        </w:rPr>
        <w:t xml:space="preserve"> </w:t>
      </w:r>
      <w:r w:rsidR="00D4325B" w:rsidRPr="003A1996">
        <w:rPr>
          <w:rFonts w:asciiTheme="minorHAnsi" w:hAnsiTheme="minorHAnsi" w:cstheme="minorBidi"/>
          <w:b/>
          <w:bCs/>
          <w:sz w:val="20"/>
          <w:szCs w:val="20"/>
        </w:rPr>
        <w:t>Declarar</w:t>
      </w:r>
      <w:r w:rsidR="00D4325B">
        <w:rPr>
          <w:rFonts w:asciiTheme="minorHAnsi" w:hAnsiTheme="minorHAnsi" w:cstheme="minorBidi"/>
          <w:sz w:val="20"/>
          <w:szCs w:val="20"/>
        </w:rPr>
        <w:t xml:space="preserve"> </w:t>
      </w:r>
      <w:r w:rsidR="00925264">
        <w:rPr>
          <w:rFonts w:asciiTheme="minorHAnsi" w:hAnsiTheme="minorHAnsi" w:cstheme="minorBidi"/>
          <w:sz w:val="20"/>
          <w:szCs w:val="20"/>
        </w:rPr>
        <w:t xml:space="preserve">quitado o mútuo bancário </w:t>
      </w:r>
      <w:r w:rsidR="003A1996">
        <w:rPr>
          <w:rFonts w:asciiTheme="minorHAnsi" w:hAnsiTheme="minorHAnsi" w:cstheme="minorBidi"/>
          <w:sz w:val="20"/>
          <w:szCs w:val="20"/>
        </w:rPr>
        <w:t>convolado</w:t>
      </w:r>
      <w:r w:rsidR="00F01A84">
        <w:rPr>
          <w:rFonts w:asciiTheme="minorHAnsi" w:hAnsiTheme="minorHAnsi" w:cstheme="minorBidi"/>
          <w:sz w:val="20"/>
          <w:szCs w:val="20"/>
        </w:rPr>
        <w:t>, fixando que a parte demandada não poderá promover qualquer tipo de medida restritiva de crédito em desfavor da parte demandante e nem realizar cobranças extrajudiciais ou judiciais em decorrência do contrato objeto desta ação</w:t>
      </w:r>
      <w:r w:rsidR="003A1996">
        <w:rPr>
          <w:rFonts w:asciiTheme="minorHAnsi" w:hAnsiTheme="minorHAnsi" w:cstheme="minorBidi"/>
          <w:sz w:val="20"/>
          <w:szCs w:val="20"/>
        </w:rPr>
        <w:t>;</w:t>
      </w:r>
    </w:p>
    <w:p w14:paraId="7D59E25E" w14:textId="09C158C9" w:rsidR="009C13CC" w:rsidRDefault="003A1996" w:rsidP="00DB0339">
      <w:pPr>
        <w:pStyle w:val="PargrafodaLista"/>
        <w:numPr>
          <w:ilvl w:val="0"/>
          <w:numId w:val="9"/>
        </w:numPr>
        <w:spacing w:after="0"/>
        <w:ind w:left="2552"/>
        <w:jc w:val="both"/>
        <w:rPr>
          <w:rFonts w:asciiTheme="minorHAnsi" w:hAnsiTheme="minorHAnsi" w:cstheme="minorBidi"/>
          <w:sz w:val="20"/>
          <w:szCs w:val="20"/>
        </w:rPr>
      </w:pPr>
      <w:r w:rsidRPr="002C6D2D">
        <w:rPr>
          <w:rFonts w:asciiTheme="minorHAnsi" w:hAnsiTheme="minorHAnsi" w:cstheme="minorBidi"/>
          <w:b/>
          <w:bCs/>
          <w:sz w:val="20"/>
          <w:szCs w:val="20"/>
        </w:rPr>
        <w:t>Condenar</w:t>
      </w:r>
      <w:r w:rsidRPr="002C6D2D">
        <w:rPr>
          <w:rFonts w:asciiTheme="minorHAnsi" w:hAnsiTheme="minorHAnsi" w:cstheme="minorBidi"/>
          <w:sz w:val="20"/>
          <w:szCs w:val="20"/>
        </w:rPr>
        <w:t xml:space="preserve"> a parte demandada a restituir os valores cobrados indevidamente</w:t>
      </w:r>
      <w:r w:rsidR="00F44B67" w:rsidRPr="002C6D2D">
        <w:rPr>
          <w:rFonts w:asciiTheme="minorHAnsi" w:hAnsiTheme="minorHAnsi" w:cstheme="minorBidi"/>
          <w:sz w:val="20"/>
          <w:szCs w:val="20"/>
        </w:rPr>
        <w:t>, com a repetição do indébito de forma dobrada</w:t>
      </w:r>
      <w:r w:rsidR="00AE0D6D" w:rsidRPr="002C6D2D">
        <w:rPr>
          <w:rFonts w:asciiTheme="minorHAnsi" w:hAnsiTheme="minorHAnsi" w:cstheme="minorBidi"/>
          <w:sz w:val="20"/>
          <w:szCs w:val="20"/>
        </w:rPr>
        <w:t>, em valor a ser apurado em posterior liquidação de sentença</w:t>
      </w:r>
      <w:r w:rsidR="00F44B67" w:rsidRPr="002C6D2D">
        <w:rPr>
          <w:rFonts w:asciiTheme="minorHAnsi" w:hAnsiTheme="minorHAnsi" w:cstheme="minorBidi"/>
          <w:sz w:val="20"/>
          <w:szCs w:val="20"/>
        </w:rPr>
        <w:t>;</w:t>
      </w:r>
    </w:p>
    <w:p w14:paraId="5DF9AE7A" w14:textId="77777777" w:rsidR="00545071" w:rsidRDefault="00545071" w:rsidP="00545071">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4342350B" w14:textId="77777777" w:rsidR="00545071" w:rsidRPr="002C6D2D" w:rsidRDefault="00545071" w:rsidP="00545071">
      <w:pPr>
        <w:pStyle w:val="PargrafodaLista"/>
        <w:spacing w:after="0"/>
        <w:ind w:left="2552"/>
        <w:jc w:val="both"/>
        <w:rPr>
          <w:rFonts w:asciiTheme="minorHAnsi" w:hAnsiTheme="minorHAnsi" w:cstheme="minorBid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0E787D3"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8F50DF">
        <w:rPr>
          <w:rFonts w:asciiTheme="minorHAnsi" w:hAnsiTheme="minorHAnsi" w:cstheme="minorHAnsi"/>
          <w:noProof/>
          <w:sz w:val="24"/>
          <w:szCs w:val="24"/>
        </w:rPr>
        <w:t>3 de maio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06257EB2" w14:textId="76821AFA" w:rsidR="00316D22"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04 – </w:t>
      </w:r>
      <w:r w:rsidR="00B259F0">
        <w:rPr>
          <w:rFonts w:asciiTheme="minorHAnsi" w:hAnsiTheme="minorHAnsi" w:cstheme="minorHAnsi"/>
          <w:sz w:val="22"/>
          <w:szCs w:val="26"/>
        </w:rPr>
        <w:t>faturas do cartão de crédito;</w:t>
      </w:r>
    </w:p>
    <w:p w14:paraId="75F8A471" w14:textId="7FCB85CF"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05 – extrato de uso do cartão;</w:t>
      </w:r>
    </w:p>
    <w:p w14:paraId="57F3C6A5" w14:textId="6C54B806"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06 – histórico de empréstimo consignado;</w:t>
      </w:r>
    </w:p>
    <w:p w14:paraId="79ADD559" w14:textId="74C68568" w:rsidR="00545BA3" w:rsidRPr="00BB3951"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07 - </w:t>
      </w:r>
      <w:r w:rsidR="00545BA3" w:rsidRPr="00BB3951">
        <w:rPr>
          <w:rFonts w:asciiTheme="minorHAnsi" w:hAnsiTheme="minorHAnsi" w:cstheme="minorHAnsi"/>
          <w:sz w:val="22"/>
          <w:szCs w:val="26"/>
        </w:rPr>
        <w:t>tabelas de juros do BACEN;</w:t>
      </w:r>
    </w:p>
    <w:p w14:paraId="1CDEAC26" w14:textId="2F01406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w:t>
      </w:r>
      <w:r w:rsidR="00B259F0">
        <w:rPr>
          <w:rFonts w:asciiTheme="minorHAnsi" w:hAnsiTheme="minorHAnsi" w:cstheme="minorHAnsi"/>
          <w:sz w:val="22"/>
          <w:szCs w:val="26"/>
        </w:rPr>
        <w:t>8</w:t>
      </w:r>
      <w:r w:rsidRPr="00BB3951">
        <w:rPr>
          <w:rFonts w:asciiTheme="minorHAnsi" w:hAnsiTheme="minorHAnsi" w:cstheme="minorHAnsi"/>
          <w:sz w:val="22"/>
          <w:szCs w:val="26"/>
        </w:rPr>
        <w:t xml:space="preserve"> – memória de cálculo;</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sectPr w:rsidR="00AB3ADE" w:rsidSect="0052536F">
      <w:headerReference w:type="default" r:id="rId15"/>
      <w:footerReference w:type="default" r:id="rId16"/>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2T23:12:00Z" w:initials="HM">
    <w:p w14:paraId="63B10B10" w14:textId="43C027DE" w:rsidR="007817B0" w:rsidRDefault="007817B0">
      <w:pPr>
        <w:pStyle w:val="Textodecomentrio"/>
      </w:pPr>
      <w:r>
        <w:rPr>
          <w:rStyle w:val="Refdecomentrio"/>
        </w:rPr>
        <w:annotationRef/>
      </w:r>
      <w:r w:rsidR="00E07B10">
        <w:rPr>
          <w:rStyle w:val="Refdecomentrio"/>
        </w:rPr>
        <w:t>Esta ação pode ser utilizada nas situações nas quais a pessoa tenha realizado diversos saques ou compras no rotativo</w:t>
      </w:r>
    </w:p>
  </w:comment>
  <w:comment w:id="2" w:author="Homero Medeiros" w:date="2022-05-03T20:07:00Z" w:initials="HM">
    <w:p w14:paraId="0DC0D2B5" w14:textId="423056CD" w:rsidR="00F035E7" w:rsidRDefault="00F035E7">
      <w:pPr>
        <w:pStyle w:val="Textodecomentrio"/>
      </w:pPr>
      <w:r>
        <w:rPr>
          <w:rStyle w:val="Refdecomentrio"/>
        </w:rPr>
        <w:annotationRef/>
      </w:r>
      <w:r w:rsidR="007147BF">
        <w:t xml:space="preserve">Determinar que a parte demandada limite a cobrança da fatura de vencimento XXX ao valor de R$ XXXX, com a consequente determinação para </w:t>
      </w:r>
      <w:r w:rsidR="00E127BF">
        <w:t>seja expedida nova fatura sem a cobrança de encargos moratórios para que a parte demandante promova o seu pagamento.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10B10" w15:done="0"/>
  <w15:commentEx w15:paraId="0DC0D2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E3F5" w16cex:dateUtc="2022-05-03T03:12:00Z"/>
  <w16cex:commentExtensible w16cex:durableId="261C09F8" w16cex:dateUtc="2022-05-04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10B10" w16cid:durableId="261AE3F5"/>
  <w16cid:commentId w16cid:paraId="0DC0D2B5" w16cid:durableId="261C09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3927" w14:textId="77777777" w:rsidR="002E7148" w:rsidRDefault="002E7148">
      <w:r>
        <w:separator/>
      </w:r>
    </w:p>
  </w:endnote>
  <w:endnote w:type="continuationSeparator" w:id="0">
    <w:p w14:paraId="7E13376F" w14:textId="77777777" w:rsidR="002E7148" w:rsidRDefault="002E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F896" w14:textId="77777777" w:rsidR="002E7148" w:rsidRDefault="002E7148">
      <w:r>
        <w:separator/>
      </w:r>
    </w:p>
  </w:footnote>
  <w:footnote w:type="continuationSeparator" w:id="0">
    <w:p w14:paraId="3C7ECFB9" w14:textId="77777777" w:rsidR="002E7148" w:rsidRDefault="002E7148">
      <w:r>
        <w:continuationSeparator/>
      </w:r>
    </w:p>
  </w:footnote>
  <w:footnote w:id="1">
    <w:p w14:paraId="211D5D1A" w14:textId="77777777" w:rsidR="001E1766" w:rsidRPr="00B62B16" w:rsidRDefault="001E1766"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Conforme procuração anexa.</w:t>
      </w:r>
    </w:p>
  </w:footnote>
  <w:footnote w:id="2">
    <w:p w14:paraId="3AE536B4" w14:textId="77777777" w:rsidR="00B81E4D" w:rsidRPr="00276834" w:rsidRDefault="00B81E4D" w:rsidP="00B81E4D">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767A2584" w14:textId="77777777" w:rsidR="00515CCD" w:rsidRPr="00276834" w:rsidRDefault="00515CCD" w:rsidP="00515CCD">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11529647 – [...] I - Julgamento das questões idênticas que caracterizam a multiplicidade. </w:t>
      </w:r>
      <w:r w:rsidRPr="00276834">
        <w:rPr>
          <w:rFonts w:asciiTheme="minorHAnsi" w:hAnsiTheme="minorHAnsi" w:cstheme="minorHAnsi"/>
          <w:b/>
          <w:bCs/>
          <w:sz w:val="18"/>
          <w:szCs w:val="18"/>
          <w:u w:val="single"/>
        </w:rPr>
        <w:t>Orientação 1</w:t>
      </w:r>
      <w:r w:rsidRPr="00276834">
        <w:rPr>
          <w:rFonts w:asciiTheme="minorHAnsi" w:hAnsiTheme="minorHAnsi" w:cstheme="minorHAnsi"/>
          <w:sz w:val="18"/>
          <w:szCs w:val="18"/>
        </w:rPr>
        <w:t xml:space="preserve"> - Juros remuneratórios [...]; </w:t>
      </w:r>
      <w:r w:rsidRPr="00276834">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276834">
        <w:rPr>
          <w:rFonts w:asciiTheme="minorHAnsi" w:hAnsiTheme="minorHAnsi" w:cstheme="minorHAnsi"/>
          <w:sz w:val="18"/>
          <w:szCs w:val="18"/>
        </w:rPr>
        <w:t>. ... (</w:t>
      </w:r>
      <w:r w:rsidRPr="00276834">
        <w:rPr>
          <w:rFonts w:asciiTheme="minorHAnsi" w:hAnsiTheme="minorHAnsi" w:cstheme="minorHAnsi"/>
          <w:sz w:val="18"/>
          <w:szCs w:val="18"/>
          <w:u w:val="single"/>
        </w:rPr>
        <w:t>STJ; REsp 1.061.530</w:t>
      </w:r>
      <w:r w:rsidRPr="00276834">
        <w:rPr>
          <w:rFonts w:asciiTheme="minorHAnsi" w:hAnsiTheme="minorHAnsi" w:cstheme="minorHAnsi"/>
          <w:sz w:val="18"/>
          <w:szCs w:val="18"/>
        </w:rPr>
        <w:t>; Proc. 2008/0119992-4; RS; Segunda Seção; Relª Min. Fátima Nancy Andrighi; Julg. 22/10/2008; DJE 10/03/2009) g/n</w:t>
      </w:r>
    </w:p>
  </w:footnote>
  <w:footnote w:id="4">
    <w:p w14:paraId="46FE21A1" w14:textId="77777777" w:rsidR="00515CCD" w:rsidRPr="00276834" w:rsidRDefault="00515CCD" w:rsidP="00515CCD">
      <w:pPr>
        <w:pStyle w:val="Textodenotaderodap"/>
        <w:spacing w:line="240" w:lineRule="auto"/>
        <w:jc w:val="both"/>
        <w:rPr>
          <w:sz w:val="18"/>
          <w:szCs w:val="18"/>
        </w:rPr>
      </w:pPr>
      <w:r w:rsidRPr="00276834">
        <w:rPr>
          <w:rStyle w:val="Refdenotaderodap"/>
          <w:sz w:val="18"/>
          <w:szCs w:val="18"/>
        </w:rPr>
        <w:footnoteRef/>
      </w:r>
      <w:r w:rsidRPr="00276834">
        <w:rPr>
          <w:sz w:val="18"/>
          <w:szCs w:val="18"/>
        </w:rPr>
        <w:t xml:space="preserve"> Por exemplo, cita-se o recente precedente: 99312866 - APELAÇÃO CIVIL. Ação revisional. Decisão que julgou parcialmente procedente a ação, determinando a limitação dos juros remuneratórios à taxa média de mercado- irresignação do banco para serem mantidos os juros pactuados. Empréstimo consignado para servidor público. Taxa de juros contratada em percentuais que excedem, em grande monta, os índices previstos pelo BACEN na data da contratação. Configuração da abusividade quando comparados ao percentual divulgado pelo Banco Central do Brasil. Contrato com variação superior à 20% da taxa média de mercado. Recurso conhecido e improvido. (TJSE; AC 202100727279; Ac. 9369/2022; Primeira Câmara Cível; Rel. Des. Ruy Pinheiro da Silva; DJSE 12/04/2022)</w:t>
      </w:r>
    </w:p>
  </w:footnote>
  <w:footnote w:id="5">
    <w:p w14:paraId="0E316864" w14:textId="30FD6CB4" w:rsidR="00F07A46" w:rsidRDefault="00F07A46">
      <w:pPr>
        <w:pStyle w:val="Textodenotaderodap"/>
      </w:pPr>
      <w:r>
        <w:rPr>
          <w:rStyle w:val="Refdenotaderodap"/>
        </w:rPr>
        <w:footnoteRef/>
      </w:r>
      <w:r>
        <w:t xml:space="preserve"> Confira aqui todas as séries temporárias existentes: </w:t>
      </w:r>
      <w:hyperlink r:id="rId1" w:history="1">
        <w:r w:rsidRPr="007C101A">
          <w:rPr>
            <w:rStyle w:val="Hyperlink"/>
          </w:rPr>
          <w:t>https://www3.bcb.gov.br/sgspub/consultarvalores/consultarValoresSeries.do?method=getPagina</w:t>
        </w:r>
      </w:hyperlink>
      <w:r>
        <w:t xml:space="preserve">. Acesso em 01/05/2022. </w:t>
      </w:r>
    </w:p>
  </w:footnote>
  <w:footnote w:id="6">
    <w:p w14:paraId="1E5CEDE4" w14:textId="77777777" w:rsidR="00515CCD" w:rsidRPr="00276834" w:rsidRDefault="00515CCD" w:rsidP="00515CCD">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Disponível em: </w:t>
      </w:r>
      <w:hyperlink r:id="rId2" w:history="1">
        <w:r w:rsidRPr="00276834">
          <w:rPr>
            <w:rStyle w:val="Hyperlink"/>
            <w:rFonts w:asciiTheme="minorHAnsi" w:hAnsiTheme="minorHAnsi" w:cstheme="minorHAnsi"/>
            <w:sz w:val="18"/>
            <w:szCs w:val="18"/>
          </w:rPr>
          <w:t>https://www3.bcb.gov.br/sgspub/localizarseries/localizarSeries.do?method=prepararTelaLocalizarSeries</w:t>
        </w:r>
      </w:hyperlink>
      <w:r w:rsidRPr="00276834">
        <w:rPr>
          <w:rFonts w:asciiTheme="minorHAnsi" w:hAnsiTheme="minorHAnsi" w:cstheme="minorHAnsi"/>
          <w:sz w:val="18"/>
          <w:szCs w:val="18"/>
        </w:rPr>
        <w:t>. Acesso em XX/XX/XXXX.</w:t>
      </w:r>
    </w:p>
  </w:footnote>
  <w:footnote w:id="7">
    <w:p w14:paraId="7A181972" w14:textId="77777777" w:rsidR="00515CCD" w:rsidRPr="00276834" w:rsidRDefault="00515CCD" w:rsidP="00515CCD">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REsp 1.061.530/RS, Rel. Min. NANCY ANDRIGHI, 2ª Seção, DJe, 10.3.2009.</w:t>
      </w:r>
    </w:p>
  </w:footnote>
  <w:footnote w:id="8">
    <w:p w14:paraId="09952C32" w14:textId="77777777" w:rsidR="00515CCD" w:rsidRPr="00276834" w:rsidRDefault="00515CCD" w:rsidP="00515CCD">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AgInt no AREsp 1591428/RS, Rel. Ministro MARCO AURÉLIO BELLIZZE, TERCEIRA TURMA, julgado em 30/03/2020, DJe 06/04/2020</w:t>
      </w:r>
    </w:p>
  </w:footnote>
  <w:footnote w:id="9">
    <w:p w14:paraId="3ACD356F" w14:textId="77777777" w:rsidR="00515CCD" w:rsidRPr="00276834" w:rsidRDefault="00515CCD" w:rsidP="00515CCD">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10">
    <w:p w14:paraId="0D56DFB9" w14:textId="77777777" w:rsidR="00E57D5E" w:rsidRPr="00430619" w:rsidRDefault="00E57D5E" w:rsidP="00E57D5E">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2. TESES FIXADAS PARA OS FINS DO ART. 1.040 DO CPC/2015: [...] 2.2 - Nos contratos bancários em geral, o consumidor não pode ser compelido a contratar seguro com a instituição financeira ou com seguradora por ela indicada. [...] 4. RECURSO ESPECIAL DESPROVIDO. (REsp 1639320/SP, Rel. Ministro PAULO DE TARSO SANSEVERINO, SEGUNDA SEÇÃO, julgado em 12/12/2018, DJe 17/12/2018)</w:t>
      </w:r>
    </w:p>
  </w:footnote>
  <w:footnote w:id="11">
    <w:p w14:paraId="4E91A4CC" w14:textId="77777777" w:rsidR="0061535E" w:rsidRDefault="0061535E" w:rsidP="0061535E">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446C020C" w14:textId="77777777" w:rsidR="0061535E" w:rsidRDefault="0061535E" w:rsidP="0061535E">
      <w:pPr>
        <w:pStyle w:val="Textodenotaderodap"/>
        <w:spacing w:after="0" w:line="240" w:lineRule="auto"/>
        <w:jc w:val="both"/>
        <w:rPr>
          <w:rFonts w:asciiTheme="minorHAnsi" w:hAnsiTheme="minorHAnsi" w:cstheme="minorHAnsi"/>
          <w:sz w:val="18"/>
          <w:szCs w:val="18"/>
        </w:rPr>
      </w:pPr>
    </w:p>
  </w:footnote>
  <w:footnote w:id="12">
    <w:p w14:paraId="3A1CFE8D" w14:textId="77777777" w:rsidR="009709EB" w:rsidRPr="00B62B16" w:rsidRDefault="009709EB"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STJ [...]13. </w:t>
      </w:r>
      <w:r w:rsidRPr="00B62B16">
        <w:rPr>
          <w:rFonts w:asciiTheme="minorHAnsi" w:hAnsiTheme="minorHAnsi" w:cstheme="minorHAnsi"/>
          <w:b/>
          <w:bCs/>
          <w:sz w:val="18"/>
          <w:szCs w:val="18"/>
        </w:rPr>
        <w:t>Fixação das seguintes teses</w:t>
      </w:r>
      <w:r w:rsidRPr="00B62B16">
        <w:rPr>
          <w:rFonts w:asciiTheme="minorHAnsi" w:hAnsiTheme="minorHAnsi" w:cstheme="minorHAnsi"/>
          <w:sz w:val="18"/>
          <w:szCs w:val="18"/>
        </w:rPr>
        <w:t xml:space="preserve">. Primeira tese: A </w:t>
      </w:r>
      <w:r w:rsidRPr="00B62B16">
        <w:rPr>
          <w:rFonts w:asciiTheme="minorHAnsi" w:hAnsiTheme="minorHAnsi" w:cstheme="minorHAnsi"/>
          <w:sz w:val="18"/>
          <w:szCs w:val="18"/>
          <w:u w:val="single"/>
        </w:rPr>
        <w:t>restituição em dobro do indébito</w:t>
      </w:r>
      <w:r w:rsidRPr="00B62B16">
        <w:rPr>
          <w:rFonts w:asciiTheme="minorHAnsi" w:hAnsiTheme="minorHAnsi" w:cstheme="minorHAnsi"/>
          <w:sz w:val="18"/>
          <w:szCs w:val="18"/>
        </w:rPr>
        <w:t xml:space="preserve"> (parágrafo único do artigo 42 do CDC) </w:t>
      </w:r>
      <w:r w:rsidRPr="00B62B16">
        <w:rPr>
          <w:rFonts w:asciiTheme="minorHAnsi" w:hAnsiTheme="minorHAnsi" w:cstheme="minorHAnsi"/>
          <w:sz w:val="18"/>
          <w:szCs w:val="18"/>
          <w:u w:val="single"/>
        </w:rPr>
        <w:t>independe da natureza do elemento volitivo do fornecedor</w:t>
      </w:r>
      <w:r w:rsidRPr="00B62B16">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3">
    <w:p w14:paraId="7EF33666" w14:textId="201B649A" w:rsidR="00014E9D" w:rsidRPr="00B62B16" w:rsidRDefault="00014E9D"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B62B16">
        <w:rPr>
          <w:rFonts w:asciiTheme="minorHAnsi" w:hAnsiTheme="minorHAnsi" w:cstheme="minorHAnsi"/>
          <w:sz w:val="18"/>
          <w:szCs w:val="18"/>
        </w:rPr>
        <w:t xml:space="preserve">Seção, </w:t>
      </w:r>
      <w:r w:rsidR="00D86795" w:rsidRPr="00B62B16">
        <w:rPr>
          <w:rFonts w:asciiTheme="minorHAnsi" w:hAnsiTheme="minorHAnsi" w:cstheme="minorHAnsi"/>
          <w:sz w:val="18"/>
          <w:szCs w:val="18"/>
        </w:rPr>
        <w:t>DJe 21.6.2012</w:t>
      </w:r>
      <w:r w:rsidRPr="00B62B16">
        <w:rPr>
          <w:rFonts w:asciiTheme="minorHAnsi" w:hAnsiTheme="minorHAnsi" w:cstheme="minorHAnsi"/>
          <w:sz w:val="18"/>
          <w:szCs w:val="18"/>
        </w:rPr>
        <w:t>). ... (REsp 1806813/SP, Rel. Ministro HERMAN BENJAMIN, SEGUNDA TURMA, julgado em 15/08/2019, DJe 10/09/2019)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0FE0"/>
    <w:rsid w:val="00001127"/>
    <w:rsid w:val="000016E5"/>
    <w:rsid w:val="000023A2"/>
    <w:rsid w:val="00002BA9"/>
    <w:rsid w:val="00003500"/>
    <w:rsid w:val="00003568"/>
    <w:rsid w:val="00003BB9"/>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C8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9F8"/>
    <w:rsid w:val="00075FE2"/>
    <w:rsid w:val="00076512"/>
    <w:rsid w:val="00076A15"/>
    <w:rsid w:val="00076DA0"/>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055"/>
    <w:rsid w:val="00093D09"/>
    <w:rsid w:val="00093FAC"/>
    <w:rsid w:val="000948DB"/>
    <w:rsid w:val="00094F5F"/>
    <w:rsid w:val="000967AA"/>
    <w:rsid w:val="000A15B7"/>
    <w:rsid w:val="000A17B0"/>
    <w:rsid w:val="000A1E4C"/>
    <w:rsid w:val="000A219B"/>
    <w:rsid w:val="000A23B6"/>
    <w:rsid w:val="000A24D1"/>
    <w:rsid w:val="000A4365"/>
    <w:rsid w:val="000A4E66"/>
    <w:rsid w:val="000A5511"/>
    <w:rsid w:val="000A59EC"/>
    <w:rsid w:val="000A5E9B"/>
    <w:rsid w:val="000A65EF"/>
    <w:rsid w:val="000A7774"/>
    <w:rsid w:val="000B165B"/>
    <w:rsid w:val="000B1A23"/>
    <w:rsid w:val="000B21E6"/>
    <w:rsid w:val="000B2333"/>
    <w:rsid w:val="000B235A"/>
    <w:rsid w:val="000B324D"/>
    <w:rsid w:val="000B3595"/>
    <w:rsid w:val="000B3861"/>
    <w:rsid w:val="000B49F5"/>
    <w:rsid w:val="000B4A1F"/>
    <w:rsid w:val="000B4F80"/>
    <w:rsid w:val="000B50C0"/>
    <w:rsid w:val="000B5C37"/>
    <w:rsid w:val="000B77F5"/>
    <w:rsid w:val="000C1152"/>
    <w:rsid w:val="000C27D8"/>
    <w:rsid w:val="000C2EA8"/>
    <w:rsid w:val="000C3BC4"/>
    <w:rsid w:val="000C3E00"/>
    <w:rsid w:val="000C3E2F"/>
    <w:rsid w:val="000C4AC6"/>
    <w:rsid w:val="000C4EED"/>
    <w:rsid w:val="000C6C53"/>
    <w:rsid w:val="000C75D2"/>
    <w:rsid w:val="000D15E6"/>
    <w:rsid w:val="000D2941"/>
    <w:rsid w:val="000D5009"/>
    <w:rsid w:val="000D5054"/>
    <w:rsid w:val="000D5354"/>
    <w:rsid w:val="000D6BF0"/>
    <w:rsid w:val="000D786E"/>
    <w:rsid w:val="000E05E4"/>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E67"/>
    <w:rsid w:val="000F6F45"/>
    <w:rsid w:val="00100392"/>
    <w:rsid w:val="00100EA9"/>
    <w:rsid w:val="00101628"/>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07724"/>
    <w:rsid w:val="00110335"/>
    <w:rsid w:val="001110BB"/>
    <w:rsid w:val="0011209D"/>
    <w:rsid w:val="001132D9"/>
    <w:rsid w:val="00113615"/>
    <w:rsid w:val="0011437A"/>
    <w:rsid w:val="00115028"/>
    <w:rsid w:val="00116505"/>
    <w:rsid w:val="0011704C"/>
    <w:rsid w:val="001179B5"/>
    <w:rsid w:val="001179D5"/>
    <w:rsid w:val="00120D7F"/>
    <w:rsid w:val="00122253"/>
    <w:rsid w:val="0012236E"/>
    <w:rsid w:val="0012449C"/>
    <w:rsid w:val="00124CCA"/>
    <w:rsid w:val="00124CCD"/>
    <w:rsid w:val="00125ADA"/>
    <w:rsid w:val="00125D35"/>
    <w:rsid w:val="00130DCC"/>
    <w:rsid w:val="0013399D"/>
    <w:rsid w:val="00133F72"/>
    <w:rsid w:val="001343AB"/>
    <w:rsid w:val="0013568E"/>
    <w:rsid w:val="001357CD"/>
    <w:rsid w:val="00135895"/>
    <w:rsid w:val="00136B8C"/>
    <w:rsid w:val="00140726"/>
    <w:rsid w:val="00140C12"/>
    <w:rsid w:val="0014158B"/>
    <w:rsid w:val="00141BD9"/>
    <w:rsid w:val="0014386B"/>
    <w:rsid w:val="0014513E"/>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71B"/>
    <w:rsid w:val="001668F4"/>
    <w:rsid w:val="00167199"/>
    <w:rsid w:val="00167B9B"/>
    <w:rsid w:val="001704EC"/>
    <w:rsid w:val="00170677"/>
    <w:rsid w:val="001707C7"/>
    <w:rsid w:val="001735DF"/>
    <w:rsid w:val="001737E8"/>
    <w:rsid w:val="00174411"/>
    <w:rsid w:val="001750B5"/>
    <w:rsid w:val="001767BD"/>
    <w:rsid w:val="001768D8"/>
    <w:rsid w:val="001771F1"/>
    <w:rsid w:val="00177535"/>
    <w:rsid w:val="001776E4"/>
    <w:rsid w:val="00177FB6"/>
    <w:rsid w:val="001802C1"/>
    <w:rsid w:val="00180628"/>
    <w:rsid w:val="0018105B"/>
    <w:rsid w:val="00181481"/>
    <w:rsid w:val="00181746"/>
    <w:rsid w:val="00182EF4"/>
    <w:rsid w:val="00183CCA"/>
    <w:rsid w:val="001846A7"/>
    <w:rsid w:val="00185810"/>
    <w:rsid w:val="001859F0"/>
    <w:rsid w:val="00185B2C"/>
    <w:rsid w:val="00186142"/>
    <w:rsid w:val="001869E4"/>
    <w:rsid w:val="001876D8"/>
    <w:rsid w:val="00187BE1"/>
    <w:rsid w:val="00190BDE"/>
    <w:rsid w:val="00190F97"/>
    <w:rsid w:val="00191798"/>
    <w:rsid w:val="0019327C"/>
    <w:rsid w:val="00193416"/>
    <w:rsid w:val="00194574"/>
    <w:rsid w:val="00195178"/>
    <w:rsid w:val="00195A82"/>
    <w:rsid w:val="00196593"/>
    <w:rsid w:val="001A0A00"/>
    <w:rsid w:val="001A1169"/>
    <w:rsid w:val="001A1329"/>
    <w:rsid w:val="001A18BC"/>
    <w:rsid w:val="001A1C11"/>
    <w:rsid w:val="001A2154"/>
    <w:rsid w:val="001A3866"/>
    <w:rsid w:val="001A38BE"/>
    <w:rsid w:val="001A3F6E"/>
    <w:rsid w:val="001A402A"/>
    <w:rsid w:val="001A439C"/>
    <w:rsid w:val="001A468B"/>
    <w:rsid w:val="001A47F0"/>
    <w:rsid w:val="001A4959"/>
    <w:rsid w:val="001A4A69"/>
    <w:rsid w:val="001A4ACE"/>
    <w:rsid w:val="001A4EFD"/>
    <w:rsid w:val="001A7405"/>
    <w:rsid w:val="001A7674"/>
    <w:rsid w:val="001A7905"/>
    <w:rsid w:val="001B0655"/>
    <w:rsid w:val="001B1A9C"/>
    <w:rsid w:val="001B1B76"/>
    <w:rsid w:val="001B351D"/>
    <w:rsid w:val="001B38CD"/>
    <w:rsid w:val="001B3DD6"/>
    <w:rsid w:val="001B43D3"/>
    <w:rsid w:val="001B4FCA"/>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3BB"/>
    <w:rsid w:val="001C5AEE"/>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3FA0"/>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4603"/>
    <w:rsid w:val="002246D0"/>
    <w:rsid w:val="002249F8"/>
    <w:rsid w:val="002268CD"/>
    <w:rsid w:val="0022749A"/>
    <w:rsid w:val="00227FB2"/>
    <w:rsid w:val="00230472"/>
    <w:rsid w:val="00232315"/>
    <w:rsid w:val="00232B63"/>
    <w:rsid w:val="002330F4"/>
    <w:rsid w:val="002333A2"/>
    <w:rsid w:val="0023367C"/>
    <w:rsid w:val="00233AAE"/>
    <w:rsid w:val="00233AB4"/>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1F5"/>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72A2"/>
    <w:rsid w:val="00260A10"/>
    <w:rsid w:val="00261993"/>
    <w:rsid w:val="00262C55"/>
    <w:rsid w:val="00262F9D"/>
    <w:rsid w:val="00263112"/>
    <w:rsid w:val="00263475"/>
    <w:rsid w:val="00263CA8"/>
    <w:rsid w:val="00264794"/>
    <w:rsid w:val="002648F1"/>
    <w:rsid w:val="00265D3C"/>
    <w:rsid w:val="0026674B"/>
    <w:rsid w:val="00266C9C"/>
    <w:rsid w:val="00267015"/>
    <w:rsid w:val="00267584"/>
    <w:rsid w:val="00267EE9"/>
    <w:rsid w:val="0027095C"/>
    <w:rsid w:val="00271510"/>
    <w:rsid w:val="00271764"/>
    <w:rsid w:val="002719F2"/>
    <w:rsid w:val="00271F05"/>
    <w:rsid w:val="00272370"/>
    <w:rsid w:val="0027389A"/>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429E"/>
    <w:rsid w:val="0029442C"/>
    <w:rsid w:val="00295DBF"/>
    <w:rsid w:val="00296DBC"/>
    <w:rsid w:val="002A0396"/>
    <w:rsid w:val="002A2790"/>
    <w:rsid w:val="002A29B4"/>
    <w:rsid w:val="002A2C2A"/>
    <w:rsid w:val="002A302E"/>
    <w:rsid w:val="002A3FDA"/>
    <w:rsid w:val="002A537E"/>
    <w:rsid w:val="002A72B9"/>
    <w:rsid w:val="002A7E42"/>
    <w:rsid w:val="002B02E6"/>
    <w:rsid w:val="002B0640"/>
    <w:rsid w:val="002B138B"/>
    <w:rsid w:val="002B159A"/>
    <w:rsid w:val="002B17CA"/>
    <w:rsid w:val="002B1E20"/>
    <w:rsid w:val="002B3300"/>
    <w:rsid w:val="002B3308"/>
    <w:rsid w:val="002B3B6B"/>
    <w:rsid w:val="002B4FAA"/>
    <w:rsid w:val="002B50E0"/>
    <w:rsid w:val="002B524E"/>
    <w:rsid w:val="002B54B6"/>
    <w:rsid w:val="002B598F"/>
    <w:rsid w:val="002B7525"/>
    <w:rsid w:val="002B7945"/>
    <w:rsid w:val="002C0827"/>
    <w:rsid w:val="002C206D"/>
    <w:rsid w:val="002C2933"/>
    <w:rsid w:val="002C2C55"/>
    <w:rsid w:val="002C34F4"/>
    <w:rsid w:val="002C4C1B"/>
    <w:rsid w:val="002C50B4"/>
    <w:rsid w:val="002C55F6"/>
    <w:rsid w:val="002C6D2D"/>
    <w:rsid w:val="002C796B"/>
    <w:rsid w:val="002C7C7F"/>
    <w:rsid w:val="002C7ECE"/>
    <w:rsid w:val="002D10BB"/>
    <w:rsid w:val="002D12F3"/>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5B1"/>
    <w:rsid w:val="002E4643"/>
    <w:rsid w:val="002E7148"/>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1F7A"/>
    <w:rsid w:val="00302A4D"/>
    <w:rsid w:val="00303B0B"/>
    <w:rsid w:val="00304EDB"/>
    <w:rsid w:val="00305208"/>
    <w:rsid w:val="003059F4"/>
    <w:rsid w:val="00305FD6"/>
    <w:rsid w:val="00306907"/>
    <w:rsid w:val="00306BF9"/>
    <w:rsid w:val="00307919"/>
    <w:rsid w:val="0031193B"/>
    <w:rsid w:val="003121FB"/>
    <w:rsid w:val="00313568"/>
    <w:rsid w:val="003137A4"/>
    <w:rsid w:val="0031384B"/>
    <w:rsid w:val="00314091"/>
    <w:rsid w:val="003143DC"/>
    <w:rsid w:val="00314CF5"/>
    <w:rsid w:val="0031589A"/>
    <w:rsid w:val="00315C58"/>
    <w:rsid w:val="00316D22"/>
    <w:rsid w:val="00316DFF"/>
    <w:rsid w:val="00317B79"/>
    <w:rsid w:val="00321398"/>
    <w:rsid w:val="00322760"/>
    <w:rsid w:val="0032303C"/>
    <w:rsid w:val="00323491"/>
    <w:rsid w:val="00323AB2"/>
    <w:rsid w:val="00324DFD"/>
    <w:rsid w:val="00325801"/>
    <w:rsid w:val="00326E85"/>
    <w:rsid w:val="00327C4A"/>
    <w:rsid w:val="003305B9"/>
    <w:rsid w:val="00331AAC"/>
    <w:rsid w:val="00331F2B"/>
    <w:rsid w:val="003328DF"/>
    <w:rsid w:val="00333432"/>
    <w:rsid w:val="003335B6"/>
    <w:rsid w:val="00334456"/>
    <w:rsid w:val="00335251"/>
    <w:rsid w:val="0033546A"/>
    <w:rsid w:val="003360EC"/>
    <w:rsid w:val="00337B5B"/>
    <w:rsid w:val="00337CAD"/>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67D6"/>
    <w:rsid w:val="00357A87"/>
    <w:rsid w:val="00357E44"/>
    <w:rsid w:val="00357EB0"/>
    <w:rsid w:val="00357EE4"/>
    <w:rsid w:val="00360B28"/>
    <w:rsid w:val="00360EC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874"/>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6639"/>
    <w:rsid w:val="00386701"/>
    <w:rsid w:val="003874F4"/>
    <w:rsid w:val="003874F8"/>
    <w:rsid w:val="003876CF"/>
    <w:rsid w:val="0039184B"/>
    <w:rsid w:val="00391903"/>
    <w:rsid w:val="00392888"/>
    <w:rsid w:val="00393213"/>
    <w:rsid w:val="003934B3"/>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59D8"/>
    <w:rsid w:val="003A5D4C"/>
    <w:rsid w:val="003A6D0F"/>
    <w:rsid w:val="003A6DEE"/>
    <w:rsid w:val="003A71FD"/>
    <w:rsid w:val="003B01E8"/>
    <w:rsid w:val="003B0ACB"/>
    <w:rsid w:val="003B0BF4"/>
    <w:rsid w:val="003B0EA7"/>
    <w:rsid w:val="003B0F33"/>
    <w:rsid w:val="003B2CD2"/>
    <w:rsid w:val="003B3D55"/>
    <w:rsid w:val="003B3FA8"/>
    <w:rsid w:val="003B4B7D"/>
    <w:rsid w:val="003B50DC"/>
    <w:rsid w:val="003B51F1"/>
    <w:rsid w:val="003B5415"/>
    <w:rsid w:val="003B643D"/>
    <w:rsid w:val="003B7210"/>
    <w:rsid w:val="003B74CB"/>
    <w:rsid w:val="003B7FBC"/>
    <w:rsid w:val="003C0F1A"/>
    <w:rsid w:val="003C19C2"/>
    <w:rsid w:val="003C208A"/>
    <w:rsid w:val="003C2B29"/>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3BD"/>
    <w:rsid w:val="003D650D"/>
    <w:rsid w:val="003D69AC"/>
    <w:rsid w:val="003D7B31"/>
    <w:rsid w:val="003D7C0E"/>
    <w:rsid w:val="003D7D02"/>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541A"/>
    <w:rsid w:val="00445854"/>
    <w:rsid w:val="00445C13"/>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56FF2"/>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26BE"/>
    <w:rsid w:val="004727E4"/>
    <w:rsid w:val="004732D3"/>
    <w:rsid w:val="00474B2A"/>
    <w:rsid w:val="004759D0"/>
    <w:rsid w:val="004759E2"/>
    <w:rsid w:val="00482093"/>
    <w:rsid w:val="004827E5"/>
    <w:rsid w:val="00483372"/>
    <w:rsid w:val="00483E70"/>
    <w:rsid w:val="0048402D"/>
    <w:rsid w:val="00484965"/>
    <w:rsid w:val="004849D7"/>
    <w:rsid w:val="004854E1"/>
    <w:rsid w:val="00485767"/>
    <w:rsid w:val="00485E1C"/>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31BA"/>
    <w:rsid w:val="004E3B8C"/>
    <w:rsid w:val="004E4B23"/>
    <w:rsid w:val="004E757D"/>
    <w:rsid w:val="004E7A4F"/>
    <w:rsid w:val="004F0176"/>
    <w:rsid w:val="004F1923"/>
    <w:rsid w:val="004F2109"/>
    <w:rsid w:val="004F3358"/>
    <w:rsid w:val="004F3529"/>
    <w:rsid w:val="004F408D"/>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7626"/>
    <w:rsid w:val="00510375"/>
    <w:rsid w:val="0051062F"/>
    <w:rsid w:val="00510CAA"/>
    <w:rsid w:val="00510EB1"/>
    <w:rsid w:val="00511D82"/>
    <w:rsid w:val="005122EF"/>
    <w:rsid w:val="00513A26"/>
    <w:rsid w:val="00515CCD"/>
    <w:rsid w:val="00516002"/>
    <w:rsid w:val="005165DE"/>
    <w:rsid w:val="00516723"/>
    <w:rsid w:val="00517910"/>
    <w:rsid w:val="005204DA"/>
    <w:rsid w:val="00521DD2"/>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481A"/>
    <w:rsid w:val="00545071"/>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A7"/>
    <w:rsid w:val="005608EF"/>
    <w:rsid w:val="00561849"/>
    <w:rsid w:val="00561A62"/>
    <w:rsid w:val="005622FE"/>
    <w:rsid w:val="00562DF7"/>
    <w:rsid w:val="0056380A"/>
    <w:rsid w:val="0056384D"/>
    <w:rsid w:val="00563BBB"/>
    <w:rsid w:val="0056491A"/>
    <w:rsid w:val="00564C76"/>
    <w:rsid w:val="00564CB9"/>
    <w:rsid w:val="00564D5B"/>
    <w:rsid w:val="0056504F"/>
    <w:rsid w:val="005656FE"/>
    <w:rsid w:val="00566CD7"/>
    <w:rsid w:val="005675E4"/>
    <w:rsid w:val="00567EC6"/>
    <w:rsid w:val="0057243E"/>
    <w:rsid w:val="005728C0"/>
    <w:rsid w:val="00573DAF"/>
    <w:rsid w:val="005742A3"/>
    <w:rsid w:val="00576D1E"/>
    <w:rsid w:val="0057769B"/>
    <w:rsid w:val="00580969"/>
    <w:rsid w:val="00580A6C"/>
    <w:rsid w:val="00580E78"/>
    <w:rsid w:val="005813F1"/>
    <w:rsid w:val="00581837"/>
    <w:rsid w:val="00582BB1"/>
    <w:rsid w:val="00583A6F"/>
    <w:rsid w:val="00584A68"/>
    <w:rsid w:val="00584AAE"/>
    <w:rsid w:val="00585F44"/>
    <w:rsid w:val="00586721"/>
    <w:rsid w:val="00586893"/>
    <w:rsid w:val="00586F52"/>
    <w:rsid w:val="005876AB"/>
    <w:rsid w:val="00590075"/>
    <w:rsid w:val="005917AC"/>
    <w:rsid w:val="00591887"/>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45FD"/>
    <w:rsid w:val="005B541F"/>
    <w:rsid w:val="005B5C68"/>
    <w:rsid w:val="005B616F"/>
    <w:rsid w:val="005C05CB"/>
    <w:rsid w:val="005C11E6"/>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60"/>
    <w:rsid w:val="005E7893"/>
    <w:rsid w:val="005F0040"/>
    <w:rsid w:val="005F0A78"/>
    <w:rsid w:val="005F0CC3"/>
    <w:rsid w:val="005F14C6"/>
    <w:rsid w:val="005F19EB"/>
    <w:rsid w:val="005F36DF"/>
    <w:rsid w:val="005F3DD4"/>
    <w:rsid w:val="005F5368"/>
    <w:rsid w:val="005F64EC"/>
    <w:rsid w:val="005F664D"/>
    <w:rsid w:val="005F76D5"/>
    <w:rsid w:val="005F7E5A"/>
    <w:rsid w:val="00600F64"/>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5105"/>
    <w:rsid w:val="0061535E"/>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59E"/>
    <w:rsid w:val="00627818"/>
    <w:rsid w:val="00634978"/>
    <w:rsid w:val="00634F43"/>
    <w:rsid w:val="00636D78"/>
    <w:rsid w:val="00637944"/>
    <w:rsid w:val="0064316C"/>
    <w:rsid w:val="00646AB1"/>
    <w:rsid w:val="00647179"/>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4834"/>
    <w:rsid w:val="00675063"/>
    <w:rsid w:val="006751CC"/>
    <w:rsid w:val="00675980"/>
    <w:rsid w:val="00676BB2"/>
    <w:rsid w:val="00677203"/>
    <w:rsid w:val="0067753E"/>
    <w:rsid w:val="00680087"/>
    <w:rsid w:val="00681017"/>
    <w:rsid w:val="0068177A"/>
    <w:rsid w:val="006818F1"/>
    <w:rsid w:val="006819FA"/>
    <w:rsid w:val="00681BBC"/>
    <w:rsid w:val="0068308B"/>
    <w:rsid w:val="00684562"/>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07F9"/>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5E6"/>
    <w:rsid w:val="006B1B38"/>
    <w:rsid w:val="006B241F"/>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CC6"/>
    <w:rsid w:val="006C52A8"/>
    <w:rsid w:val="006C589B"/>
    <w:rsid w:val="006C5ED5"/>
    <w:rsid w:val="006C6E4C"/>
    <w:rsid w:val="006D022F"/>
    <w:rsid w:val="006D029E"/>
    <w:rsid w:val="006D2429"/>
    <w:rsid w:val="006D3C81"/>
    <w:rsid w:val="006D40B3"/>
    <w:rsid w:val="006D4DFF"/>
    <w:rsid w:val="006D5B80"/>
    <w:rsid w:val="006E1BE2"/>
    <w:rsid w:val="006E37F7"/>
    <w:rsid w:val="006E3819"/>
    <w:rsid w:val="006E3E75"/>
    <w:rsid w:val="006E4900"/>
    <w:rsid w:val="006E4A25"/>
    <w:rsid w:val="006E4BAF"/>
    <w:rsid w:val="006E5D74"/>
    <w:rsid w:val="006E659F"/>
    <w:rsid w:val="006E7152"/>
    <w:rsid w:val="006E7C70"/>
    <w:rsid w:val="006F0481"/>
    <w:rsid w:val="006F0815"/>
    <w:rsid w:val="006F1533"/>
    <w:rsid w:val="006F1704"/>
    <w:rsid w:val="006F1716"/>
    <w:rsid w:val="006F2B60"/>
    <w:rsid w:val="006F2DBC"/>
    <w:rsid w:val="006F3D5E"/>
    <w:rsid w:val="006F49DD"/>
    <w:rsid w:val="006F60F0"/>
    <w:rsid w:val="00700198"/>
    <w:rsid w:val="0070077E"/>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47BF"/>
    <w:rsid w:val="00715B89"/>
    <w:rsid w:val="00720557"/>
    <w:rsid w:val="00723F4D"/>
    <w:rsid w:val="00724931"/>
    <w:rsid w:val="00725CC5"/>
    <w:rsid w:val="00726DB9"/>
    <w:rsid w:val="007276F9"/>
    <w:rsid w:val="00727BC8"/>
    <w:rsid w:val="007300A9"/>
    <w:rsid w:val="007303BB"/>
    <w:rsid w:val="00730C00"/>
    <w:rsid w:val="00731794"/>
    <w:rsid w:val="00731C70"/>
    <w:rsid w:val="00732735"/>
    <w:rsid w:val="00732F1F"/>
    <w:rsid w:val="007330D5"/>
    <w:rsid w:val="0073380E"/>
    <w:rsid w:val="007339EB"/>
    <w:rsid w:val="00733E2B"/>
    <w:rsid w:val="0073546B"/>
    <w:rsid w:val="007363E3"/>
    <w:rsid w:val="00736FA2"/>
    <w:rsid w:val="00740F8C"/>
    <w:rsid w:val="0074107C"/>
    <w:rsid w:val="00741249"/>
    <w:rsid w:val="00741282"/>
    <w:rsid w:val="007428FA"/>
    <w:rsid w:val="00743D9B"/>
    <w:rsid w:val="007441A4"/>
    <w:rsid w:val="0074585E"/>
    <w:rsid w:val="00746236"/>
    <w:rsid w:val="0074781A"/>
    <w:rsid w:val="00747B6E"/>
    <w:rsid w:val="00751144"/>
    <w:rsid w:val="0075133E"/>
    <w:rsid w:val="00751E63"/>
    <w:rsid w:val="00752714"/>
    <w:rsid w:val="00752CE9"/>
    <w:rsid w:val="00753657"/>
    <w:rsid w:val="00754C86"/>
    <w:rsid w:val="00755178"/>
    <w:rsid w:val="007551C5"/>
    <w:rsid w:val="00755938"/>
    <w:rsid w:val="00756632"/>
    <w:rsid w:val="00760B16"/>
    <w:rsid w:val="00760D83"/>
    <w:rsid w:val="00760EA4"/>
    <w:rsid w:val="0076232E"/>
    <w:rsid w:val="00763613"/>
    <w:rsid w:val="00764312"/>
    <w:rsid w:val="007653FB"/>
    <w:rsid w:val="007655F0"/>
    <w:rsid w:val="007657BB"/>
    <w:rsid w:val="00765FFB"/>
    <w:rsid w:val="007676C2"/>
    <w:rsid w:val="0077020D"/>
    <w:rsid w:val="007704BB"/>
    <w:rsid w:val="007704C0"/>
    <w:rsid w:val="00771451"/>
    <w:rsid w:val="007717E1"/>
    <w:rsid w:val="00773141"/>
    <w:rsid w:val="00773F06"/>
    <w:rsid w:val="00774E20"/>
    <w:rsid w:val="007758F9"/>
    <w:rsid w:val="00776EA5"/>
    <w:rsid w:val="0078013D"/>
    <w:rsid w:val="007817B0"/>
    <w:rsid w:val="0078189D"/>
    <w:rsid w:val="00781E2D"/>
    <w:rsid w:val="00782ACF"/>
    <w:rsid w:val="00782D82"/>
    <w:rsid w:val="007832B8"/>
    <w:rsid w:val="00784D73"/>
    <w:rsid w:val="007852BF"/>
    <w:rsid w:val="00785A8E"/>
    <w:rsid w:val="00787495"/>
    <w:rsid w:val="0079015A"/>
    <w:rsid w:val="007904B6"/>
    <w:rsid w:val="007904CD"/>
    <w:rsid w:val="007905DA"/>
    <w:rsid w:val="0079141B"/>
    <w:rsid w:val="0079164A"/>
    <w:rsid w:val="00791C89"/>
    <w:rsid w:val="0079250F"/>
    <w:rsid w:val="00792D11"/>
    <w:rsid w:val="007937BE"/>
    <w:rsid w:val="00793A34"/>
    <w:rsid w:val="00793E79"/>
    <w:rsid w:val="007948DC"/>
    <w:rsid w:val="0079538D"/>
    <w:rsid w:val="007960F6"/>
    <w:rsid w:val="00796305"/>
    <w:rsid w:val="007964DA"/>
    <w:rsid w:val="007965CB"/>
    <w:rsid w:val="00796939"/>
    <w:rsid w:val="00796C33"/>
    <w:rsid w:val="0079718A"/>
    <w:rsid w:val="0079773B"/>
    <w:rsid w:val="0079775C"/>
    <w:rsid w:val="0079779C"/>
    <w:rsid w:val="007A0856"/>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BE5"/>
    <w:rsid w:val="007C3C8C"/>
    <w:rsid w:val="007C4481"/>
    <w:rsid w:val="007C6041"/>
    <w:rsid w:val="007C64E2"/>
    <w:rsid w:val="007C765A"/>
    <w:rsid w:val="007C7BC5"/>
    <w:rsid w:val="007D2C32"/>
    <w:rsid w:val="007D357A"/>
    <w:rsid w:val="007D43AB"/>
    <w:rsid w:val="007D46CC"/>
    <w:rsid w:val="007D4794"/>
    <w:rsid w:val="007D4979"/>
    <w:rsid w:val="007D58CF"/>
    <w:rsid w:val="007D59EB"/>
    <w:rsid w:val="007D68D4"/>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59DC"/>
    <w:rsid w:val="008067A9"/>
    <w:rsid w:val="00806B8B"/>
    <w:rsid w:val="0080707B"/>
    <w:rsid w:val="008079BF"/>
    <w:rsid w:val="00807E75"/>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32B"/>
    <w:rsid w:val="00822964"/>
    <w:rsid w:val="008231E3"/>
    <w:rsid w:val="00823B35"/>
    <w:rsid w:val="00824865"/>
    <w:rsid w:val="008273A1"/>
    <w:rsid w:val="008276E3"/>
    <w:rsid w:val="00827891"/>
    <w:rsid w:val="00827910"/>
    <w:rsid w:val="00832B12"/>
    <w:rsid w:val="008339C2"/>
    <w:rsid w:val="0083486A"/>
    <w:rsid w:val="00836377"/>
    <w:rsid w:val="00837398"/>
    <w:rsid w:val="008401D2"/>
    <w:rsid w:val="00840F6E"/>
    <w:rsid w:val="008426E3"/>
    <w:rsid w:val="00844012"/>
    <w:rsid w:val="00844230"/>
    <w:rsid w:val="00844434"/>
    <w:rsid w:val="008449E8"/>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4E99"/>
    <w:rsid w:val="008759F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0DF"/>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40ED"/>
    <w:rsid w:val="00924DEF"/>
    <w:rsid w:val="00924E33"/>
    <w:rsid w:val="00924E7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3A3"/>
    <w:rsid w:val="00937D73"/>
    <w:rsid w:val="00940557"/>
    <w:rsid w:val="00941423"/>
    <w:rsid w:val="00941509"/>
    <w:rsid w:val="00941AD5"/>
    <w:rsid w:val="00941D4B"/>
    <w:rsid w:val="00941EE5"/>
    <w:rsid w:val="0094327F"/>
    <w:rsid w:val="00943555"/>
    <w:rsid w:val="00943AF1"/>
    <w:rsid w:val="00944074"/>
    <w:rsid w:val="009442D9"/>
    <w:rsid w:val="009444E2"/>
    <w:rsid w:val="00945184"/>
    <w:rsid w:val="00945732"/>
    <w:rsid w:val="00945E73"/>
    <w:rsid w:val="00946044"/>
    <w:rsid w:val="00947A81"/>
    <w:rsid w:val="00947ED4"/>
    <w:rsid w:val="00947FEF"/>
    <w:rsid w:val="00952DA5"/>
    <w:rsid w:val="009530F3"/>
    <w:rsid w:val="00953973"/>
    <w:rsid w:val="009568AD"/>
    <w:rsid w:val="00956AB8"/>
    <w:rsid w:val="0095794B"/>
    <w:rsid w:val="0096068B"/>
    <w:rsid w:val="009606CD"/>
    <w:rsid w:val="0096348D"/>
    <w:rsid w:val="009638CF"/>
    <w:rsid w:val="00963CD9"/>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607D"/>
    <w:rsid w:val="00987782"/>
    <w:rsid w:val="00990909"/>
    <w:rsid w:val="00990993"/>
    <w:rsid w:val="00990B32"/>
    <w:rsid w:val="00991D94"/>
    <w:rsid w:val="00991E75"/>
    <w:rsid w:val="0099298D"/>
    <w:rsid w:val="00993A00"/>
    <w:rsid w:val="00993CE9"/>
    <w:rsid w:val="00994E95"/>
    <w:rsid w:val="00995349"/>
    <w:rsid w:val="00995468"/>
    <w:rsid w:val="00997BFD"/>
    <w:rsid w:val="009A0C60"/>
    <w:rsid w:val="009A165D"/>
    <w:rsid w:val="009A17E8"/>
    <w:rsid w:val="009A19DE"/>
    <w:rsid w:val="009A44B8"/>
    <w:rsid w:val="009A4500"/>
    <w:rsid w:val="009A4ED8"/>
    <w:rsid w:val="009A5433"/>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F8"/>
    <w:rsid w:val="009C7DAE"/>
    <w:rsid w:val="009D01E5"/>
    <w:rsid w:val="009D157B"/>
    <w:rsid w:val="009D1956"/>
    <w:rsid w:val="009D2332"/>
    <w:rsid w:val="009D324D"/>
    <w:rsid w:val="009D3864"/>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2A98"/>
    <w:rsid w:val="009E3C7F"/>
    <w:rsid w:val="009E40EB"/>
    <w:rsid w:val="009E61E1"/>
    <w:rsid w:val="009E7E02"/>
    <w:rsid w:val="009F05E4"/>
    <w:rsid w:val="009F292E"/>
    <w:rsid w:val="009F44F7"/>
    <w:rsid w:val="009F4ED0"/>
    <w:rsid w:val="009F5303"/>
    <w:rsid w:val="009F59D9"/>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61BC"/>
    <w:rsid w:val="00A16775"/>
    <w:rsid w:val="00A16F33"/>
    <w:rsid w:val="00A173AB"/>
    <w:rsid w:val="00A17BBE"/>
    <w:rsid w:val="00A20CD7"/>
    <w:rsid w:val="00A20FD6"/>
    <w:rsid w:val="00A2112C"/>
    <w:rsid w:val="00A21364"/>
    <w:rsid w:val="00A21982"/>
    <w:rsid w:val="00A22B1D"/>
    <w:rsid w:val="00A22B1F"/>
    <w:rsid w:val="00A23078"/>
    <w:rsid w:val="00A23B2C"/>
    <w:rsid w:val="00A24D55"/>
    <w:rsid w:val="00A25B7B"/>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13C4"/>
    <w:rsid w:val="00A42177"/>
    <w:rsid w:val="00A437C3"/>
    <w:rsid w:val="00A439FD"/>
    <w:rsid w:val="00A43F2C"/>
    <w:rsid w:val="00A44BFD"/>
    <w:rsid w:val="00A46CF7"/>
    <w:rsid w:val="00A47BCC"/>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0E2F"/>
    <w:rsid w:val="00A81570"/>
    <w:rsid w:val="00A840BD"/>
    <w:rsid w:val="00A85416"/>
    <w:rsid w:val="00A856D6"/>
    <w:rsid w:val="00A87608"/>
    <w:rsid w:val="00A87CB9"/>
    <w:rsid w:val="00A87E04"/>
    <w:rsid w:val="00A900C0"/>
    <w:rsid w:val="00A90947"/>
    <w:rsid w:val="00A916ED"/>
    <w:rsid w:val="00A935B3"/>
    <w:rsid w:val="00A93F4D"/>
    <w:rsid w:val="00A94DF8"/>
    <w:rsid w:val="00A9644D"/>
    <w:rsid w:val="00A96B4D"/>
    <w:rsid w:val="00A96C22"/>
    <w:rsid w:val="00A96C9F"/>
    <w:rsid w:val="00A97C25"/>
    <w:rsid w:val="00A97D0B"/>
    <w:rsid w:val="00AA105B"/>
    <w:rsid w:val="00AA2C32"/>
    <w:rsid w:val="00AA2D99"/>
    <w:rsid w:val="00AA4189"/>
    <w:rsid w:val="00AA483F"/>
    <w:rsid w:val="00AA48D3"/>
    <w:rsid w:val="00AA4EC8"/>
    <w:rsid w:val="00AA5889"/>
    <w:rsid w:val="00AB0168"/>
    <w:rsid w:val="00AB0B04"/>
    <w:rsid w:val="00AB0C83"/>
    <w:rsid w:val="00AB1498"/>
    <w:rsid w:val="00AB25E5"/>
    <w:rsid w:val="00AB26FA"/>
    <w:rsid w:val="00AB305D"/>
    <w:rsid w:val="00AB30DD"/>
    <w:rsid w:val="00AB3ADE"/>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D7A94"/>
    <w:rsid w:val="00AE0D6D"/>
    <w:rsid w:val="00AE0E4C"/>
    <w:rsid w:val="00AE0E7A"/>
    <w:rsid w:val="00AE10B7"/>
    <w:rsid w:val="00AE1331"/>
    <w:rsid w:val="00AE2391"/>
    <w:rsid w:val="00AE2745"/>
    <w:rsid w:val="00AE2DEE"/>
    <w:rsid w:val="00AE3E60"/>
    <w:rsid w:val="00AE45C5"/>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B0002F"/>
    <w:rsid w:val="00B000EA"/>
    <w:rsid w:val="00B004AF"/>
    <w:rsid w:val="00B013F8"/>
    <w:rsid w:val="00B0175F"/>
    <w:rsid w:val="00B02E1E"/>
    <w:rsid w:val="00B03B6A"/>
    <w:rsid w:val="00B03D30"/>
    <w:rsid w:val="00B047D4"/>
    <w:rsid w:val="00B04B42"/>
    <w:rsid w:val="00B04D2C"/>
    <w:rsid w:val="00B04E90"/>
    <w:rsid w:val="00B05D9E"/>
    <w:rsid w:val="00B06B38"/>
    <w:rsid w:val="00B06D9C"/>
    <w:rsid w:val="00B07E31"/>
    <w:rsid w:val="00B1047E"/>
    <w:rsid w:val="00B10A3D"/>
    <w:rsid w:val="00B11155"/>
    <w:rsid w:val="00B112C7"/>
    <w:rsid w:val="00B12B2A"/>
    <w:rsid w:val="00B1352C"/>
    <w:rsid w:val="00B142B1"/>
    <w:rsid w:val="00B16111"/>
    <w:rsid w:val="00B1615F"/>
    <w:rsid w:val="00B169EB"/>
    <w:rsid w:val="00B16AC3"/>
    <w:rsid w:val="00B17656"/>
    <w:rsid w:val="00B20749"/>
    <w:rsid w:val="00B214A0"/>
    <w:rsid w:val="00B21F93"/>
    <w:rsid w:val="00B22124"/>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E4D"/>
    <w:rsid w:val="00B40F41"/>
    <w:rsid w:val="00B42083"/>
    <w:rsid w:val="00B43CBF"/>
    <w:rsid w:val="00B43E41"/>
    <w:rsid w:val="00B44C66"/>
    <w:rsid w:val="00B45A17"/>
    <w:rsid w:val="00B45CD4"/>
    <w:rsid w:val="00B46458"/>
    <w:rsid w:val="00B47009"/>
    <w:rsid w:val="00B47DE4"/>
    <w:rsid w:val="00B50942"/>
    <w:rsid w:val="00B52FDA"/>
    <w:rsid w:val="00B532C9"/>
    <w:rsid w:val="00B537F3"/>
    <w:rsid w:val="00B5514C"/>
    <w:rsid w:val="00B5600D"/>
    <w:rsid w:val="00B560BC"/>
    <w:rsid w:val="00B5773C"/>
    <w:rsid w:val="00B579DF"/>
    <w:rsid w:val="00B579E0"/>
    <w:rsid w:val="00B57D4B"/>
    <w:rsid w:val="00B603BE"/>
    <w:rsid w:val="00B60F64"/>
    <w:rsid w:val="00B62B16"/>
    <w:rsid w:val="00B62F8D"/>
    <w:rsid w:val="00B63098"/>
    <w:rsid w:val="00B639CE"/>
    <w:rsid w:val="00B63CE5"/>
    <w:rsid w:val="00B63FB6"/>
    <w:rsid w:val="00B643A7"/>
    <w:rsid w:val="00B6775D"/>
    <w:rsid w:val="00B67D7A"/>
    <w:rsid w:val="00B714DE"/>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E77"/>
    <w:rsid w:val="00B95546"/>
    <w:rsid w:val="00B95C5F"/>
    <w:rsid w:val="00B95D34"/>
    <w:rsid w:val="00B96828"/>
    <w:rsid w:val="00B969D3"/>
    <w:rsid w:val="00B97408"/>
    <w:rsid w:val="00B979F3"/>
    <w:rsid w:val="00BA01C0"/>
    <w:rsid w:val="00BA1623"/>
    <w:rsid w:val="00BA176B"/>
    <w:rsid w:val="00BA2C48"/>
    <w:rsid w:val="00BA30CD"/>
    <w:rsid w:val="00BA33F5"/>
    <w:rsid w:val="00BA42AD"/>
    <w:rsid w:val="00BA48CE"/>
    <w:rsid w:val="00BA48F4"/>
    <w:rsid w:val="00BA7B67"/>
    <w:rsid w:val="00BB00E3"/>
    <w:rsid w:val="00BB071A"/>
    <w:rsid w:val="00BB09F4"/>
    <w:rsid w:val="00BB133E"/>
    <w:rsid w:val="00BB1744"/>
    <w:rsid w:val="00BB2A11"/>
    <w:rsid w:val="00BB31CC"/>
    <w:rsid w:val="00BB369B"/>
    <w:rsid w:val="00BB3951"/>
    <w:rsid w:val="00BB43A2"/>
    <w:rsid w:val="00BB45ED"/>
    <w:rsid w:val="00BB4731"/>
    <w:rsid w:val="00BB47F9"/>
    <w:rsid w:val="00BB5101"/>
    <w:rsid w:val="00BB5A22"/>
    <w:rsid w:val="00BB6735"/>
    <w:rsid w:val="00BB6CB5"/>
    <w:rsid w:val="00BB715A"/>
    <w:rsid w:val="00BC049E"/>
    <w:rsid w:val="00BC320A"/>
    <w:rsid w:val="00BC3587"/>
    <w:rsid w:val="00BC3D1D"/>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77BA"/>
    <w:rsid w:val="00BE78AD"/>
    <w:rsid w:val="00BE7F65"/>
    <w:rsid w:val="00BF00C4"/>
    <w:rsid w:val="00BF10CE"/>
    <w:rsid w:val="00BF1238"/>
    <w:rsid w:val="00BF171E"/>
    <w:rsid w:val="00BF68F8"/>
    <w:rsid w:val="00BF6B8D"/>
    <w:rsid w:val="00BF6D67"/>
    <w:rsid w:val="00BF7510"/>
    <w:rsid w:val="00BF7B44"/>
    <w:rsid w:val="00C004AB"/>
    <w:rsid w:val="00C045B0"/>
    <w:rsid w:val="00C0503B"/>
    <w:rsid w:val="00C050B1"/>
    <w:rsid w:val="00C06512"/>
    <w:rsid w:val="00C078DE"/>
    <w:rsid w:val="00C10112"/>
    <w:rsid w:val="00C12873"/>
    <w:rsid w:val="00C165C2"/>
    <w:rsid w:val="00C17DEE"/>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4BCB"/>
    <w:rsid w:val="00C35A9D"/>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1EC9"/>
    <w:rsid w:val="00C5287B"/>
    <w:rsid w:val="00C52DB2"/>
    <w:rsid w:val="00C543D6"/>
    <w:rsid w:val="00C54DC0"/>
    <w:rsid w:val="00C570CE"/>
    <w:rsid w:val="00C57B41"/>
    <w:rsid w:val="00C57CDE"/>
    <w:rsid w:val="00C602EA"/>
    <w:rsid w:val="00C609E8"/>
    <w:rsid w:val="00C619E3"/>
    <w:rsid w:val="00C62342"/>
    <w:rsid w:val="00C624AB"/>
    <w:rsid w:val="00C6315B"/>
    <w:rsid w:val="00C63D9F"/>
    <w:rsid w:val="00C649F4"/>
    <w:rsid w:val="00C64D6E"/>
    <w:rsid w:val="00C66BC0"/>
    <w:rsid w:val="00C66F7E"/>
    <w:rsid w:val="00C67B98"/>
    <w:rsid w:val="00C70F2B"/>
    <w:rsid w:val="00C72545"/>
    <w:rsid w:val="00C72E79"/>
    <w:rsid w:val="00C7336D"/>
    <w:rsid w:val="00C7403B"/>
    <w:rsid w:val="00C74C45"/>
    <w:rsid w:val="00C75900"/>
    <w:rsid w:val="00C75F27"/>
    <w:rsid w:val="00C762BC"/>
    <w:rsid w:val="00C767B7"/>
    <w:rsid w:val="00C76FEE"/>
    <w:rsid w:val="00C77854"/>
    <w:rsid w:val="00C77E4C"/>
    <w:rsid w:val="00C80C83"/>
    <w:rsid w:val="00C827F6"/>
    <w:rsid w:val="00C8284E"/>
    <w:rsid w:val="00C83A36"/>
    <w:rsid w:val="00C84C52"/>
    <w:rsid w:val="00C854EE"/>
    <w:rsid w:val="00C85FD0"/>
    <w:rsid w:val="00C86C37"/>
    <w:rsid w:val="00C86DEF"/>
    <w:rsid w:val="00C86F4B"/>
    <w:rsid w:val="00C90639"/>
    <w:rsid w:val="00C909D7"/>
    <w:rsid w:val="00C912E7"/>
    <w:rsid w:val="00C913B8"/>
    <w:rsid w:val="00C91EF3"/>
    <w:rsid w:val="00C93A9E"/>
    <w:rsid w:val="00C941E2"/>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7D5"/>
    <w:rsid w:val="00CB42B5"/>
    <w:rsid w:val="00CB4503"/>
    <w:rsid w:val="00CB4B02"/>
    <w:rsid w:val="00CB5CCD"/>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6EF7"/>
    <w:rsid w:val="00CE7CA7"/>
    <w:rsid w:val="00CF1195"/>
    <w:rsid w:val="00CF160E"/>
    <w:rsid w:val="00CF1630"/>
    <w:rsid w:val="00CF184D"/>
    <w:rsid w:val="00CF2889"/>
    <w:rsid w:val="00CF3156"/>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6D3"/>
    <w:rsid w:val="00D31F3F"/>
    <w:rsid w:val="00D32B53"/>
    <w:rsid w:val="00D338C2"/>
    <w:rsid w:val="00D33BB4"/>
    <w:rsid w:val="00D33DCA"/>
    <w:rsid w:val="00D35825"/>
    <w:rsid w:val="00D36385"/>
    <w:rsid w:val="00D36858"/>
    <w:rsid w:val="00D40DE8"/>
    <w:rsid w:val="00D41EBC"/>
    <w:rsid w:val="00D4287F"/>
    <w:rsid w:val="00D4325B"/>
    <w:rsid w:val="00D462A1"/>
    <w:rsid w:val="00D46643"/>
    <w:rsid w:val="00D46A35"/>
    <w:rsid w:val="00D46CFB"/>
    <w:rsid w:val="00D46E0D"/>
    <w:rsid w:val="00D47681"/>
    <w:rsid w:val="00D47F4C"/>
    <w:rsid w:val="00D517EF"/>
    <w:rsid w:val="00D5249C"/>
    <w:rsid w:val="00D52511"/>
    <w:rsid w:val="00D527F5"/>
    <w:rsid w:val="00D52E09"/>
    <w:rsid w:val="00D53BE5"/>
    <w:rsid w:val="00D5546A"/>
    <w:rsid w:val="00D564AB"/>
    <w:rsid w:val="00D56AB6"/>
    <w:rsid w:val="00D57984"/>
    <w:rsid w:val="00D57E0B"/>
    <w:rsid w:val="00D60C94"/>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6B0"/>
    <w:rsid w:val="00D74772"/>
    <w:rsid w:val="00D74E70"/>
    <w:rsid w:val="00D76ED5"/>
    <w:rsid w:val="00D77447"/>
    <w:rsid w:val="00D7792F"/>
    <w:rsid w:val="00D805F0"/>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4036"/>
    <w:rsid w:val="00DB48B8"/>
    <w:rsid w:val="00DB4932"/>
    <w:rsid w:val="00DB6F5C"/>
    <w:rsid w:val="00DC2387"/>
    <w:rsid w:val="00DC2DF7"/>
    <w:rsid w:val="00DC3E37"/>
    <w:rsid w:val="00DC4016"/>
    <w:rsid w:val="00DC4045"/>
    <w:rsid w:val="00DC5A75"/>
    <w:rsid w:val="00DC671C"/>
    <w:rsid w:val="00DC6EF4"/>
    <w:rsid w:val="00DD0DED"/>
    <w:rsid w:val="00DD280F"/>
    <w:rsid w:val="00DD2AC7"/>
    <w:rsid w:val="00DD2F4F"/>
    <w:rsid w:val="00DD2FCE"/>
    <w:rsid w:val="00DD35A8"/>
    <w:rsid w:val="00DD3CE9"/>
    <w:rsid w:val="00DD4AA4"/>
    <w:rsid w:val="00DD4C8D"/>
    <w:rsid w:val="00DD54AA"/>
    <w:rsid w:val="00DD5CA2"/>
    <w:rsid w:val="00DD632C"/>
    <w:rsid w:val="00DE0234"/>
    <w:rsid w:val="00DE1EF0"/>
    <w:rsid w:val="00DE231B"/>
    <w:rsid w:val="00DE27ED"/>
    <w:rsid w:val="00DE2B5D"/>
    <w:rsid w:val="00DE34DE"/>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5F9"/>
    <w:rsid w:val="00DF697A"/>
    <w:rsid w:val="00E003C9"/>
    <w:rsid w:val="00E006D5"/>
    <w:rsid w:val="00E00BE0"/>
    <w:rsid w:val="00E01558"/>
    <w:rsid w:val="00E01E83"/>
    <w:rsid w:val="00E02316"/>
    <w:rsid w:val="00E02C02"/>
    <w:rsid w:val="00E0318C"/>
    <w:rsid w:val="00E0563F"/>
    <w:rsid w:val="00E05BCF"/>
    <w:rsid w:val="00E0652A"/>
    <w:rsid w:val="00E06DBD"/>
    <w:rsid w:val="00E071AA"/>
    <w:rsid w:val="00E079DD"/>
    <w:rsid w:val="00E07B10"/>
    <w:rsid w:val="00E1076B"/>
    <w:rsid w:val="00E108C7"/>
    <w:rsid w:val="00E1141F"/>
    <w:rsid w:val="00E11AE6"/>
    <w:rsid w:val="00E127BF"/>
    <w:rsid w:val="00E12A0E"/>
    <w:rsid w:val="00E131E5"/>
    <w:rsid w:val="00E13365"/>
    <w:rsid w:val="00E13F15"/>
    <w:rsid w:val="00E146BB"/>
    <w:rsid w:val="00E14897"/>
    <w:rsid w:val="00E161FD"/>
    <w:rsid w:val="00E16472"/>
    <w:rsid w:val="00E175E2"/>
    <w:rsid w:val="00E203AD"/>
    <w:rsid w:val="00E204E3"/>
    <w:rsid w:val="00E2051C"/>
    <w:rsid w:val="00E2157A"/>
    <w:rsid w:val="00E217D9"/>
    <w:rsid w:val="00E2321D"/>
    <w:rsid w:val="00E2330C"/>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954"/>
    <w:rsid w:val="00E47C41"/>
    <w:rsid w:val="00E507D2"/>
    <w:rsid w:val="00E51E57"/>
    <w:rsid w:val="00E5206D"/>
    <w:rsid w:val="00E52618"/>
    <w:rsid w:val="00E5267D"/>
    <w:rsid w:val="00E526A3"/>
    <w:rsid w:val="00E52A91"/>
    <w:rsid w:val="00E52BA3"/>
    <w:rsid w:val="00E52ECB"/>
    <w:rsid w:val="00E53482"/>
    <w:rsid w:val="00E534B9"/>
    <w:rsid w:val="00E546A5"/>
    <w:rsid w:val="00E55303"/>
    <w:rsid w:val="00E55897"/>
    <w:rsid w:val="00E56ABC"/>
    <w:rsid w:val="00E578C8"/>
    <w:rsid w:val="00E57D5E"/>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F0A"/>
    <w:rsid w:val="00E74A85"/>
    <w:rsid w:val="00E75864"/>
    <w:rsid w:val="00E75955"/>
    <w:rsid w:val="00E75CD4"/>
    <w:rsid w:val="00E76773"/>
    <w:rsid w:val="00E76F99"/>
    <w:rsid w:val="00E777D9"/>
    <w:rsid w:val="00E801AF"/>
    <w:rsid w:val="00E814F2"/>
    <w:rsid w:val="00E81B69"/>
    <w:rsid w:val="00E81C64"/>
    <w:rsid w:val="00E82412"/>
    <w:rsid w:val="00E83A04"/>
    <w:rsid w:val="00E84E3C"/>
    <w:rsid w:val="00E857C6"/>
    <w:rsid w:val="00E85930"/>
    <w:rsid w:val="00E85C88"/>
    <w:rsid w:val="00E864E5"/>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FC6"/>
    <w:rsid w:val="00EB65FE"/>
    <w:rsid w:val="00EB6C37"/>
    <w:rsid w:val="00EB6E11"/>
    <w:rsid w:val="00EB6EBC"/>
    <w:rsid w:val="00EB6EF8"/>
    <w:rsid w:val="00EC0A3E"/>
    <w:rsid w:val="00EC1ECD"/>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945"/>
    <w:rsid w:val="00ED3AA2"/>
    <w:rsid w:val="00ED485A"/>
    <w:rsid w:val="00ED5F50"/>
    <w:rsid w:val="00ED6558"/>
    <w:rsid w:val="00ED70FD"/>
    <w:rsid w:val="00ED7381"/>
    <w:rsid w:val="00EE271B"/>
    <w:rsid w:val="00EE3C17"/>
    <w:rsid w:val="00EE4629"/>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35E7"/>
    <w:rsid w:val="00F0400D"/>
    <w:rsid w:val="00F05DEF"/>
    <w:rsid w:val="00F061F1"/>
    <w:rsid w:val="00F078E1"/>
    <w:rsid w:val="00F07A46"/>
    <w:rsid w:val="00F07EDC"/>
    <w:rsid w:val="00F10797"/>
    <w:rsid w:val="00F108F7"/>
    <w:rsid w:val="00F124BE"/>
    <w:rsid w:val="00F13250"/>
    <w:rsid w:val="00F13A5F"/>
    <w:rsid w:val="00F13D6E"/>
    <w:rsid w:val="00F1416E"/>
    <w:rsid w:val="00F1468E"/>
    <w:rsid w:val="00F14777"/>
    <w:rsid w:val="00F1478F"/>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40673"/>
    <w:rsid w:val="00F41D2E"/>
    <w:rsid w:val="00F42E69"/>
    <w:rsid w:val="00F4325B"/>
    <w:rsid w:val="00F44B67"/>
    <w:rsid w:val="00F46403"/>
    <w:rsid w:val="00F465CB"/>
    <w:rsid w:val="00F47DDD"/>
    <w:rsid w:val="00F509C0"/>
    <w:rsid w:val="00F50E42"/>
    <w:rsid w:val="00F548F2"/>
    <w:rsid w:val="00F55C08"/>
    <w:rsid w:val="00F56A55"/>
    <w:rsid w:val="00F56B47"/>
    <w:rsid w:val="00F57057"/>
    <w:rsid w:val="00F57EC7"/>
    <w:rsid w:val="00F60E85"/>
    <w:rsid w:val="00F61328"/>
    <w:rsid w:val="00F616D4"/>
    <w:rsid w:val="00F6185E"/>
    <w:rsid w:val="00F61F15"/>
    <w:rsid w:val="00F62153"/>
    <w:rsid w:val="00F63202"/>
    <w:rsid w:val="00F65260"/>
    <w:rsid w:val="00F652CB"/>
    <w:rsid w:val="00F65C8E"/>
    <w:rsid w:val="00F662E7"/>
    <w:rsid w:val="00F679F9"/>
    <w:rsid w:val="00F67B86"/>
    <w:rsid w:val="00F67D3E"/>
    <w:rsid w:val="00F70235"/>
    <w:rsid w:val="00F70462"/>
    <w:rsid w:val="00F70C12"/>
    <w:rsid w:val="00F73DE9"/>
    <w:rsid w:val="00F74AAB"/>
    <w:rsid w:val="00F74FC4"/>
    <w:rsid w:val="00F756C7"/>
    <w:rsid w:val="00F75E88"/>
    <w:rsid w:val="00F77EC3"/>
    <w:rsid w:val="00F802C0"/>
    <w:rsid w:val="00F805C6"/>
    <w:rsid w:val="00F809F3"/>
    <w:rsid w:val="00F817D8"/>
    <w:rsid w:val="00F81F65"/>
    <w:rsid w:val="00F82719"/>
    <w:rsid w:val="00F830B4"/>
    <w:rsid w:val="00F838CA"/>
    <w:rsid w:val="00F83A67"/>
    <w:rsid w:val="00F8571B"/>
    <w:rsid w:val="00F859A1"/>
    <w:rsid w:val="00F8645F"/>
    <w:rsid w:val="00F86BD5"/>
    <w:rsid w:val="00F86DAA"/>
    <w:rsid w:val="00F86E16"/>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151D"/>
    <w:rsid w:val="00FA2689"/>
    <w:rsid w:val="00FA27AB"/>
    <w:rsid w:val="00FA36B8"/>
    <w:rsid w:val="00FA3758"/>
    <w:rsid w:val="00FA3DD2"/>
    <w:rsid w:val="00FA4915"/>
    <w:rsid w:val="00FA4E3F"/>
    <w:rsid w:val="00FA4F16"/>
    <w:rsid w:val="00FA52C8"/>
    <w:rsid w:val="00FB10A0"/>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C0A"/>
    <w:rsid w:val="00FD18B9"/>
    <w:rsid w:val="00FD281A"/>
    <w:rsid w:val="00FD2D18"/>
    <w:rsid w:val="00FD5836"/>
    <w:rsid w:val="00FD591A"/>
    <w:rsid w:val="00FD67AA"/>
    <w:rsid w:val="00FD700B"/>
    <w:rsid w:val="00FD74CC"/>
    <w:rsid w:val="00FE109D"/>
    <w:rsid w:val="00FE110B"/>
    <w:rsid w:val="00FE12BF"/>
    <w:rsid w:val="00FE14B7"/>
    <w:rsid w:val="00FE2279"/>
    <w:rsid w:val="00FE2C4E"/>
    <w:rsid w:val="00FE3D43"/>
    <w:rsid w:val="00FE4E9E"/>
    <w:rsid w:val="00FE71E7"/>
    <w:rsid w:val="00FE772A"/>
    <w:rsid w:val="00FE795B"/>
    <w:rsid w:val="00FF0139"/>
    <w:rsid w:val="00FF018C"/>
    <w:rsid w:val="00FF0BD4"/>
    <w:rsid w:val="00FF0E76"/>
    <w:rsid w:val="00FF1296"/>
    <w:rsid w:val="00FF1671"/>
    <w:rsid w:val="00FF23E6"/>
    <w:rsid w:val="00FF2CA1"/>
    <w:rsid w:val="00FF3CB2"/>
    <w:rsid w:val="00FF4BDE"/>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 w:type="table" w:styleId="SimplesTabela3">
    <w:name w:val="Plain Table 3"/>
    <w:basedOn w:val="Tabelanormal"/>
    <w:uiPriority w:val="43"/>
    <w:rsid w:val="00331A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2-nfase5">
    <w:name w:val="Grid Table 2 Accent 5"/>
    <w:basedOn w:val="Tabelanormal"/>
    <w:uiPriority w:val="47"/>
    <w:rsid w:val="00E1647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deGrade4-nfase5">
    <w:name w:val="Grid Table 4 Accent 5"/>
    <w:basedOn w:val="Tabelanormal"/>
    <w:uiPriority w:val="49"/>
    <w:rsid w:val="00E164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Excel_Worksheet.xlsx"/></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3.bcb.gov.br/sgspub/localizarseries/localizarSeries.do?method=prepararTelaLocalizarSeries" TargetMode="External"/><Relationship Id="rId1" Type="http://schemas.openxmlformats.org/officeDocument/2006/relationships/hyperlink" Target="https://www3.bcb.gov.br/sgspub/consultarvalores/consultarValoresSeries.do?method=getPag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76</TotalTime>
  <Pages>14</Pages>
  <Words>3447</Words>
  <Characters>18618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51</cp:revision>
  <cp:lastPrinted>2020-10-30T02:04:00Z</cp:lastPrinted>
  <dcterms:created xsi:type="dcterms:W3CDTF">2022-05-03T05:06:00Z</dcterms:created>
  <dcterms:modified xsi:type="dcterms:W3CDTF">2022-05-04T00:08:00Z</dcterms:modified>
</cp:coreProperties>
</file>