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6C97A0C6" w:rsidR="00F65260" w:rsidRPr="00BB3951" w:rsidRDefault="00F65260" w:rsidP="00BB3951">
      <w:pPr>
        <w:pStyle w:val="CORPOHOMERO"/>
        <w:rPr>
          <w:rFonts w:asciiTheme="minorHAnsi" w:hAnsiTheme="minorHAnsi" w:cstheme="minorHAnsi"/>
          <w:sz w:val="24"/>
          <w:szCs w:val="24"/>
        </w:rPr>
      </w:pPr>
      <w:r w:rsidRPr="00BB3951">
        <w:t xml:space="preserve">Em </w:t>
      </w:r>
      <w:r w:rsidR="004C4E3A">
        <w:rPr>
          <w:u w:val="single"/>
        </w:rPr>
        <w:t>10 de fevereiro de 2015</w:t>
      </w:r>
      <w:r w:rsidRPr="00BB3951">
        <w:t xml:space="preserve">, o Demandante celebrou com a Instituição financeira demandada um </w:t>
      </w:r>
      <w:r w:rsidRPr="00BB3951">
        <w:rPr>
          <w:b/>
          <w:bCs/>
        </w:rPr>
        <w:t>contrato bancário de</w:t>
      </w:r>
      <w:r w:rsidR="0066549F">
        <w:rPr>
          <w:b/>
          <w:bCs/>
        </w:rPr>
        <w:t xml:space="preserve"> crédito pessoal consignado vinculado ao INSS</w:t>
      </w:r>
      <w:r w:rsidRPr="00BB3951">
        <w:rPr>
          <w:b/>
          <w:bCs/>
        </w:rPr>
        <w:t>,</w:t>
      </w:r>
      <w:r w:rsidRPr="00BB3951">
        <w:t xml:space="preserve"> com as seguintes características:</w:t>
      </w:r>
    </w:p>
    <w:p w14:paraId="37C04CDA"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lastRenderedPageBreak/>
        <w:t>Nº do contrato</w:t>
      </w:r>
      <w:r w:rsidRPr="00BB3951">
        <w:rPr>
          <w:rFonts w:asciiTheme="minorHAnsi" w:hAnsiTheme="minorHAnsi" w:cstheme="minorHAnsi"/>
          <w:sz w:val="16"/>
          <w:szCs w:val="16"/>
        </w:rPr>
        <w:t>: 00000000001;</w:t>
      </w:r>
    </w:p>
    <w:p w14:paraId="67512AD9" w14:textId="083653A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235084">
        <w:rPr>
          <w:rFonts w:asciiTheme="minorHAnsi" w:hAnsiTheme="minorHAnsi" w:cstheme="minorHAnsi"/>
          <w:sz w:val="16"/>
          <w:szCs w:val="16"/>
        </w:rPr>
        <w:t>4</w:t>
      </w:r>
      <w:r w:rsidR="00377CFB">
        <w:rPr>
          <w:rFonts w:asciiTheme="minorHAnsi" w:hAnsiTheme="minorHAnsi" w:cstheme="minorHAnsi"/>
          <w:sz w:val="16"/>
          <w:szCs w:val="16"/>
        </w:rPr>
        <w:t>146,17</w:t>
      </w:r>
      <w:r w:rsidRPr="00BB3951">
        <w:rPr>
          <w:rFonts w:asciiTheme="minorHAnsi" w:hAnsiTheme="minorHAnsi" w:cstheme="minorHAnsi"/>
          <w:sz w:val="16"/>
          <w:szCs w:val="16"/>
        </w:rPr>
        <w:t>;</w:t>
      </w:r>
    </w:p>
    <w:p w14:paraId="2FE5B700" w14:textId="0042C5F0"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R$</w:t>
      </w:r>
      <w:r w:rsidR="00235DFB">
        <w:rPr>
          <w:rFonts w:asciiTheme="minorHAnsi" w:hAnsiTheme="minorHAnsi" w:cstheme="minorHAnsi"/>
          <w:sz w:val="16"/>
          <w:szCs w:val="16"/>
        </w:rPr>
        <w:t xml:space="preserve"> </w:t>
      </w:r>
      <w:r w:rsidR="00377CFB">
        <w:rPr>
          <w:rFonts w:asciiTheme="minorHAnsi" w:hAnsiTheme="minorHAnsi" w:cstheme="minorHAnsi"/>
          <w:sz w:val="16"/>
          <w:szCs w:val="16"/>
        </w:rPr>
        <w:t>4003,28</w:t>
      </w:r>
      <w:r w:rsidRPr="00BB3951">
        <w:rPr>
          <w:rFonts w:asciiTheme="minorHAnsi" w:hAnsiTheme="minorHAnsi" w:cstheme="minorHAnsi"/>
          <w:sz w:val="16"/>
          <w:szCs w:val="16"/>
        </w:rPr>
        <w:t>;</w:t>
      </w:r>
    </w:p>
    <w:p w14:paraId="6B50DE27" w14:textId="31CC2E59" w:rsidR="00ED7381" w:rsidRPr="00BB3951" w:rsidRDefault="005258C6"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 xml:space="preserve">IOF: R$ </w:t>
      </w:r>
      <w:r w:rsidR="00377CFB">
        <w:rPr>
          <w:rFonts w:asciiTheme="minorHAnsi" w:hAnsiTheme="minorHAnsi" w:cstheme="minorHAnsi"/>
          <w:sz w:val="16"/>
          <w:szCs w:val="16"/>
          <w:u w:val="single"/>
        </w:rPr>
        <w:t>122,89</w:t>
      </w:r>
    </w:p>
    <w:p w14:paraId="1309F357" w14:textId="7B6D6CF2"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377CFB">
        <w:rPr>
          <w:rFonts w:asciiTheme="minorHAnsi" w:hAnsiTheme="minorHAnsi" w:cstheme="minorHAnsi"/>
          <w:sz w:val="16"/>
          <w:szCs w:val="16"/>
        </w:rPr>
        <w:t>2,34</w:t>
      </w:r>
      <w:r w:rsidRPr="00BB3951">
        <w:rPr>
          <w:rFonts w:asciiTheme="minorHAnsi" w:hAnsiTheme="minorHAnsi" w:cstheme="minorHAnsi"/>
          <w:sz w:val="16"/>
          <w:szCs w:val="16"/>
        </w:rPr>
        <w:t xml:space="preserve">% ao mês e </w:t>
      </w:r>
      <w:r w:rsidR="00377CFB">
        <w:rPr>
          <w:rFonts w:asciiTheme="minorHAnsi" w:hAnsiTheme="minorHAnsi" w:cstheme="minorHAnsi"/>
          <w:sz w:val="16"/>
          <w:szCs w:val="16"/>
        </w:rPr>
        <w:t>32,02</w:t>
      </w:r>
      <w:r w:rsidRPr="00BB3951">
        <w:rPr>
          <w:rFonts w:asciiTheme="minorHAnsi" w:hAnsiTheme="minorHAnsi" w:cstheme="minorHAnsi"/>
          <w:sz w:val="16"/>
          <w:szCs w:val="16"/>
        </w:rPr>
        <w:t>% ao ano;</w:t>
      </w:r>
    </w:p>
    <w:p w14:paraId="7FC91B61" w14:textId="75A49DB8"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w:t>
      </w:r>
      <w:r w:rsidR="00377CFB">
        <w:rPr>
          <w:rFonts w:asciiTheme="minorHAnsi" w:hAnsiTheme="minorHAnsi" w:cstheme="minorHAnsi"/>
          <w:sz w:val="16"/>
          <w:szCs w:val="16"/>
        </w:rPr>
        <w:t>58</w:t>
      </w:r>
      <w:r w:rsidRPr="00BB3951">
        <w:rPr>
          <w:rFonts w:asciiTheme="minorHAnsi" w:hAnsiTheme="minorHAnsi" w:cstheme="minorHAnsi"/>
          <w:sz w:val="16"/>
          <w:szCs w:val="16"/>
        </w:rPr>
        <w:t xml:space="preserve"> (</w:t>
      </w:r>
      <w:r w:rsidR="00377CFB">
        <w:rPr>
          <w:rFonts w:asciiTheme="minorHAnsi" w:hAnsiTheme="minorHAnsi" w:cstheme="minorHAnsi"/>
          <w:sz w:val="16"/>
          <w:szCs w:val="16"/>
        </w:rPr>
        <w:t>cinquenta</w:t>
      </w:r>
      <w:r w:rsidRPr="00BB3951">
        <w:rPr>
          <w:rFonts w:asciiTheme="minorHAnsi" w:hAnsiTheme="minorHAnsi" w:cstheme="minorHAnsi"/>
          <w:sz w:val="16"/>
          <w:szCs w:val="16"/>
        </w:rPr>
        <w:t xml:space="preserve"> e oito), com início em </w:t>
      </w:r>
      <w:r w:rsidR="00F359B5">
        <w:rPr>
          <w:rFonts w:asciiTheme="minorHAnsi" w:hAnsiTheme="minorHAnsi" w:cstheme="minorHAnsi"/>
          <w:sz w:val="16"/>
          <w:szCs w:val="16"/>
        </w:rPr>
        <w:t>20/04/15</w:t>
      </w:r>
      <w:r w:rsidRPr="00BB3951">
        <w:rPr>
          <w:rFonts w:asciiTheme="minorHAnsi" w:hAnsiTheme="minorHAnsi" w:cstheme="minorHAnsi"/>
          <w:sz w:val="16"/>
          <w:szCs w:val="16"/>
        </w:rPr>
        <w:t xml:space="preserve"> e término em </w:t>
      </w:r>
      <w:r w:rsidR="00F359B5">
        <w:rPr>
          <w:rFonts w:asciiTheme="minorHAnsi" w:hAnsiTheme="minorHAnsi" w:cstheme="minorHAnsi"/>
          <w:sz w:val="16"/>
          <w:szCs w:val="16"/>
        </w:rPr>
        <w:t>20/01/20</w:t>
      </w:r>
      <w:r w:rsidRPr="00BB3951">
        <w:rPr>
          <w:rFonts w:asciiTheme="minorHAnsi" w:hAnsiTheme="minorHAnsi" w:cstheme="minorHAnsi"/>
          <w:sz w:val="16"/>
          <w:szCs w:val="16"/>
        </w:rPr>
        <w:t>;</w:t>
      </w:r>
    </w:p>
    <w:p w14:paraId="612C6314" w14:textId="668730D8"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xml:space="preserve">: R$ </w:t>
      </w:r>
      <w:r w:rsidR="00F359B5">
        <w:rPr>
          <w:rFonts w:asciiTheme="minorHAnsi" w:hAnsiTheme="minorHAnsi" w:cstheme="minorHAnsi"/>
          <w:sz w:val="16"/>
          <w:szCs w:val="16"/>
        </w:rPr>
        <w:t>136,53</w:t>
      </w:r>
      <w:r w:rsidRPr="00BB3951">
        <w:rPr>
          <w:rFonts w:asciiTheme="minorHAnsi" w:hAnsiTheme="minorHAnsi" w:cstheme="minorHAnsi"/>
          <w:sz w:val="16"/>
          <w:szCs w:val="16"/>
        </w:rPr>
        <w:t>;</w:t>
      </w:r>
    </w:p>
    <w:p w14:paraId="7EE1E66E" w14:textId="3CDB6C29"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xml:space="preserve">: </w:t>
      </w:r>
      <w:r w:rsidR="00F359B5">
        <w:rPr>
          <w:rFonts w:asciiTheme="minorHAnsi" w:hAnsiTheme="minorHAnsi" w:cstheme="minorHAnsi"/>
          <w:sz w:val="16"/>
          <w:szCs w:val="16"/>
        </w:rPr>
        <w:t>folha de pagamento do INSS</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6184C5B3" w14:textId="7866B2DA" w:rsidR="00F65260" w:rsidRPr="00BB3951" w:rsidRDefault="00CB33F8" w:rsidP="00ED7381">
      <w:pPr>
        <w:pStyle w:val="CORPOHOMERO"/>
      </w:pPr>
      <w:r>
        <w:t xml:space="preserve">A contratação desse empréstimo foi motivada pela necessidade de a parte demandante </w:t>
      </w:r>
      <w:r w:rsidR="00DA1F33">
        <w:t xml:space="preserve">fazer frente às suas despesas básicas para sua manutenção. </w:t>
      </w:r>
    </w:p>
    <w:p w14:paraId="3C2BED4F" w14:textId="6F5D791F" w:rsidR="00F65260" w:rsidRPr="00BB3951" w:rsidRDefault="00691190" w:rsidP="00ED7381">
      <w:pPr>
        <w:pStyle w:val="CORPOHOMERO"/>
      </w:pPr>
      <w:r>
        <w:t xml:space="preserve">Entretanto, como a situação financeira da demandante se complicou, </w:t>
      </w:r>
      <w:r w:rsidR="00A37A97">
        <w:t>esta resolveu</w:t>
      </w:r>
      <w:r w:rsidR="00F65260" w:rsidRPr="00BB3951">
        <w:t xml:space="preserve"> procurar orientação jurídica sobre situação contratual.</w:t>
      </w:r>
      <w:r w:rsidR="00A37A97">
        <w:t xml:space="preserve"> </w:t>
      </w:r>
      <w:r w:rsidR="00F65260" w:rsidRPr="00BB3951">
        <w:t xml:space="preserve">Foi aí que a parte Demandante ficou perplexa com a situação. Isso porque o cálculo que lhe foi apresentado simplesmente atestou que o valor pago pelo contrato é verdadeiramente extorsivo. </w:t>
      </w:r>
    </w:p>
    <w:p w14:paraId="1B25B686" w14:textId="4DF19304" w:rsidR="00F65260" w:rsidRPr="00BB3951" w:rsidRDefault="00F65260" w:rsidP="007A22FD">
      <w:pPr>
        <w:pStyle w:val="CORPOHOMERO"/>
      </w:pPr>
      <w:r w:rsidRPr="00BB3951">
        <w:t xml:space="preserve">Como será concretamente demonstrado doravante, </w:t>
      </w:r>
      <w:r w:rsidR="000629BB">
        <w:t>é abusiva a cláusula contratual nº ---, que fixou a taxa de juros remuneratórios</w:t>
      </w:r>
      <w:r w:rsidR="007A22FD">
        <w:t>.</w:t>
      </w:r>
      <w:r w:rsidR="18498DC6">
        <w:t xml:space="preserve"> </w:t>
      </w:r>
    </w:p>
    <w:p w14:paraId="49B5EF63" w14:textId="60E579E3" w:rsidR="00F65260" w:rsidRPr="00BB3951" w:rsidRDefault="00F65260" w:rsidP="00ED7381">
      <w:pPr>
        <w:pStyle w:val="CORPOHOMERO"/>
      </w:pPr>
      <w:r w:rsidRPr="00BB3951">
        <w:t>É importante destacar que não houve qualquer tipo de risco bancário na transação capaz de justificar a exacerbada taxa de juros, tanto que a parte ré certamente não conseguirá apresentar provar do seu “spread”</w:t>
      </w:r>
      <w:r w:rsidR="007A22FD">
        <w:t>, em especial porque o crédito cons</w:t>
      </w:r>
      <w:r w:rsidR="00B373F4">
        <w:t>ignado apresenta baixíssimo ou quase nenhum risco de inadimplência.</w:t>
      </w:r>
    </w:p>
    <w:p w14:paraId="131563C9" w14:textId="77777777" w:rsidR="00F65260" w:rsidRPr="00BB3951" w:rsidRDefault="00F65260" w:rsidP="00ED7381">
      <w:pPr>
        <w:pStyle w:val="CORPOHOMERO"/>
      </w:pPr>
      <w:r w:rsidRPr="00BB3951">
        <w:t xml:space="preserve">Por fim, é importante destacar que o Demandante buscou a solução extrajudicial, no sentido de reajustar as condições contratuais, porém a Demandada se mostrou intransigente (v. </w:t>
      </w:r>
      <w:r w:rsidRPr="00BB3951">
        <w:rPr>
          <w:b/>
          <w:bCs/>
        </w:rPr>
        <w:t>ANEXO xx</w:t>
      </w:r>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07E6067C" w:rsidR="000F5A50" w:rsidRPr="00BB3951" w:rsidRDefault="00FA27AB" w:rsidP="001704EC">
      <w:pPr>
        <w:pStyle w:val="CORPOHOMERO"/>
      </w:pPr>
      <w:r w:rsidRPr="00BB3951">
        <w:t xml:space="preserve">No caso presente, a Demandada concedeu o </w:t>
      </w:r>
      <w:r w:rsidRPr="00BB3951">
        <w:rPr>
          <w:u w:val="single"/>
        </w:rPr>
        <w:t>empréstimo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60D26D1D" w14:textId="77777777" w:rsidR="003D44FC" w:rsidRDefault="003D44FC" w:rsidP="003D44FC">
      <w:pPr>
        <w:tabs>
          <w:tab w:val="left" w:pos="2160"/>
        </w:tabs>
        <w:spacing w:after="0" w:line="360" w:lineRule="auto"/>
        <w:ind w:firstLine="567"/>
        <w:jc w:val="both"/>
        <w:rPr>
          <w:rFonts w:asciiTheme="minorHAnsi" w:hAnsiTheme="minorHAnsi" w:cstheme="minorHAnsi"/>
          <w:b/>
          <w:sz w:val="24"/>
          <w:szCs w:val="24"/>
          <w:u w:val="single"/>
        </w:rPr>
      </w:pPr>
    </w:p>
    <w:p w14:paraId="05FB339A" w14:textId="1A3EEE61" w:rsidR="003D44FC" w:rsidRPr="00BB3951" w:rsidRDefault="003D44FC" w:rsidP="003D44FC">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B373F4">
        <w:rPr>
          <w:rFonts w:asciiTheme="minorHAnsi" w:hAnsiTheme="minorHAnsi" w:cstheme="minorHAnsi"/>
          <w:b/>
          <w:sz w:val="24"/>
          <w:szCs w:val="24"/>
          <w:u w:val="single"/>
        </w:rPr>
        <w:t>2</w:t>
      </w:r>
      <w:r w:rsidRPr="00BB3951">
        <w:rPr>
          <w:rFonts w:asciiTheme="minorHAnsi" w:hAnsiTheme="minorHAnsi" w:cstheme="minorHAnsi"/>
          <w:b/>
          <w:sz w:val="24"/>
          <w:szCs w:val="24"/>
          <w:u w:val="single"/>
        </w:rPr>
        <w:t>. Da abusividade da cláusula de juros remuneratórios</w:t>
      </w:r>
      <w:r w:rsidR="00354A8D">
        <w:rPr>
          <w:rFonts w:asciiTheme="minorHAnsi" w:hAnsiTheme="minorHAnsi" w:cstheme="minorHAnsi"/>
          <w:b/>
          <w:sz w:val="24"/>
          <w:szCs w:val="24"/>
          <w:u w:val="single"/>
        </w:rPr>
        <w:t xml:space="preserve"> (tese primária)</w:t>
      </w:r>
    </w:p>
    <w:p w14:paraId="1B43AA14" w14:textId="77777777" w:rsidR="00085B04" w:rsidRDefault="00085B04" w:rsidP="00085B04">
      <w:pPr>
        <w:pStyle w:val="CORPOHOMERO"/>
      </w:pPr>
      <w:r w:rsidRPr="00B77AE7">
        <w:t xml:space="preserve">A revisão dos juros remuneratórios de contratos bancários já foi objeto de </w:t>
      </w:r>
      <w:r w:rsidRPr="00B77AE7">
        <w:rPr>
          <w:u w:val="single"/>
        </w:rPr>
        <w:t>recurso especial repetitivo</w:t>
      </w:r>
      <w:r w:rsidRPr="00B77AE7">
        <w:t>, onde o Superior Tribunal de Justiça assentou que a sua revisão judicial é possível quando colocar o consumidor em desvantagem exagerada.</w:t>
      </w:r>
      <w:r w:rsidRPr="18498DC6">
        <w:rPr>
          <w:rStyle w:val="Refdenotaderodap"/>
          <w:rFonts w:asciiTheme="minorHAnsi" w:hAnsiTheme="minorHAnsi" w:cstheme="minorBidi"/>
          <w:sz w:val="20"/>
          <w:szCs w:val="20"/>
        </w:rPr>
        <w:footnoteReference w:id="3"/>
      </w:r>
    </w:p>
    <w:p w14:paraId="033A7A58" w14:textId="63031EEB" w:rsidR="004F1B1F" w:rsidRPr="00B77AE7" w:rsidRDefault="004F1B1F" w:rsidP="00085B04">
      <w:pPr>
        <w:pStyle w:val="CORPOHOMERO"/>
      </w:pPr>
      <w:r>
        <w:t xml:space="preserve">É bem verdade que esse recurso repetitivo não </w:t>
      </w:r>
      <w:r w:rsidR="001E160E">
        <w:t>abr</w:t>
      </w:r>
      <w:r w:rsidR="00BF05AF">
        <w:t xml:space="preserve">angeu diretamente o crédito consignado, porém </w:t>
      </w:r>
      <w:r w:rsidR="00C838A3">
        <w:t>isso não significou a revisão da taxa de juros remuneratórios com base nesse entendimento. Tanto é assim que os Tribunais estaduais tem reiteradamente enfrenta</w:t>
      </w:r>
      <w:r w:rsidR="00276834">
        <w:t>do a possibilidade de revisão da taxa de juros remuneratórios dos contratos de empréstimos consignado.</w:t>
      </w:r>
      <w:r w:rsidR="00276834">
        <w:rPr>
          <w:rStyle w:val="Refdenotaderodap"/>
        </w:rPr>
        <w:footnoteReference w:id="4"/>
      </w:r>
    </w:p>
    <w:p w14:paraId="0DE0859B" w14:textId="292EFF86" w:rsidR="00085B04" w:rsidRPr="00B77AE7" w:rsidRDefault="18498DC6" w:rsidP="00085B04">
      <w:pPr>
        <w:pStyle w:val="CORPOHOMERO"/>
      </w:pPr>
      <w:r>
        <w:t xml:space="preserve">No </w:t>
      </w:r>
      <w:r w:rsidRPr="18498DC6">
        <w:rPr>
          <w:b/>
          <w:bCs/>
        </w:rPr>
        <w:t>contrato em análise</w:t>
      </w:r>
      <w:r>
        <w:t xml:space="preserve">, os juros remuneratórios, para o período da normalidade, estão previstos na </w:t>
      </w:r>
      <w:r w:rsidRPr="18498DC6">
        <w:rPr>
          <w:u w:val="single"/>
        </w:rPr>
        <w:t xml:space="preserve">cláusula </w:t>
      </w:r>
      <w:r w:rsidRPr="18498DC6">
        <w:rPr>
          <w:color w:val="FF0000"/>
          <w:u w:val="single"/>
        </w:rPr>
        <w:t>F.4</w:t>
      </w:r>
      <w:r>
        <w:t xml:space="preserve">, isto é, </w:t>
      </w:r>
      <w:r w:rsidRPr="18498DC6">
        <w:rPr>
          <w:b/>
          <w:bCs/>
        </w:rPr>
        <w:t xml:space="preserve">foi fixada a taxa </w:t>
      </w:r>
      <w:r w:rsidRPr="18498DC6">
        <w:rPr>
          <w:b/>
          <w:bCs/>
          <w:u w:val="single"/>
        </w:rPr>
        <w:t>nominal</w:t>
      </w:r>
      <w:r w:rsidRPr="18498DC6">
        <w:rPr>
          <w:b/>
          <w:bCs/>
        </w:rPr>
        <w:t xml:space="preserve"> mensal de </w:t>
      </w:r>
      <w:r w:rsidR="00033AFB">
        <w:rPr>
          <w:b/>
          <w:bCs/>
          <w:color w:val="FF0000"/>
        </w:rPr>
        <w:t>2,34</w:t>
      </w:r>
      <w:r w:rsidRPr="18498DC6">
        <w:rPr>
          <w:b/>
          <w:bCs/>
        </w:rPr>
        <w:t xml:space="preserve">% e anual de </w:t>
      </w:r>
      <w:r w:rsidR="00C92C45">
        <w:rPr>
          <w:b/>
          <w:bCs/>
          <w:color w:val="FF0000"/>
        </w:rPr>
        <w:t>32,02</w:t>
      </w:r>
      <w:r w:rsidRPr="18498DC6">
        <w:rPr>
          <w:b/>
          <w:bCs/>
        </w:rPr>
        <w:t>%</w:t>
      </w:r>
      <w:r>
        <w:t>.</w:t>
      </w:r>
    </w:p>
    <w:p w14:paraId="79723198" w14:textId="77777777" w:rsidR="00085B04" w:rsidRPr="00B77AE7" w:rsidRDefault="00085B04" w:rsidP="00085B04">
      <w:pPr>
        <w:pStyle w:val="CORPOHOMERO"/>
      </w:pPr>
      <w:r w:rsidRPr="00B77AE7">
        <w:t xml:space="preserve">Os juros cobrados no contrato são manifestamente abusivos, haja vista que </w:t>
      </w:r>
      <w:r w:rsidRPr="00B77AE7">
        <w:rPr>
          <w:u w:val="single"/>
        </w:rPr>
        <w:t>não há risco bancário que justifique a excessiva cobrança</w:t>
      </w:r>
      <w:r w:rsidRPr="00B77AE7">
        <w:t xml:space="preserve">, até mesmo porque a média de mercado divulgada pelo Banco Central do Brasil está bem abaixo disso. </w:t>
      </w:r>
    </w:p>
    <w:p w14:paraId="2CE58D74" w14:textId="5AB027B2" w:rsidR="00085B04" w:rsidRPr="00B77AE7" w:rsidRDefault="00085B04" w:rsidP="00085B04">
      <w:pPr>
        <w:pStyle w:val="CORPOHOMERO"/>
      </w:pPr>
      <w:r w:rsidRPr="00B77AE7">
        <w:t>No segmento do contrato aqui debatido (</w:t>
      </w:r>
      <w:r w:rsidRPr="00B77AE7">
        <w:rPr>
          <w:b/>
          <w:bCs/>
        </w:rPr>
        <w:t xml:space="preserve">Taxa média mensal de juros - </w:t>
      </w:r>
      <w:r w:rsidRPr="00B77AE7">
        <w:rPr>
          <w:b/>
          <w:bCs/>
          <w:color w:val="FF0000"/>
        </w:rPr>
        <w:t xml:space="preserve">Pessoas físicas </w:t>
      </w:r>
      <w:r w:rsidR="00D35EAE">
        <w:rPr>
          <w:b/>
          <w:bCs/>
        </w:rPr>
        <w:t>–</w:t>
      </w:r>
      <w:r w:rsidRPr="00B77AE7">
        <w:rPr>
          <w:b/>
          <w:bCs/>
        </w:rPr>
        <w:t xml:space="preserve"> </w:t>
      </w:r>
      <w:r w:rsidR="00D35EAE">
        <w:rPr>
          <w:b/>
          <w:bCs/>
        </w:rPr>
        <w:t>crédito pessoal consignado no INSS</w:t>
      </w:r>
      <w:r w:rsidRPr="00B77AE7">
        <w:rPr>
          <w:b/>
          <w:bCs/>
          <w:color w:val="FF0000"/>
        </w:rPr>
        <w:t xml:space="preserve"> – Código </w:t>
      </w:r>
      <w:r w:rsidR="00D35EAE" w:rsidRPr="00D35EAE">
        <w:rPr>
          <w:b/>
          <w:bCs/>
          <w:color w:val="FF0000"/>
        </w:rPr>
        <w:t>25468</w:t>
      </w:r>
      <w:r w:rsidRPr="00B77AE7">
        <w:rPr>
          <w:b/>
          <w:bCs/>
        </w:rPr>
        <w:t xml:space="preserve">), </w:t>
      </w:r>
      <w:r w:rsidRPr="00B77AE7">
        <w:t xml:space="preserve">no mês de </w:t>
      </w:r>
      <w:r w:rsidR="00C92C45">
        <w:rPr>
          <w:color w:val="FF0000"/>
          <w:u w:val="single"/>
        </w:rPr>
        <w:t>fevereiro</w:t>
      </w:r>
      <w:r w:rsidRPr="00B77AE7">
        <w:rPr>
          <w:color w:val="FF0000"/>
          <w:u w:val="single"/>
        </w:rPr>
        <w:t xml:space="preserve"> de </w:t>
      </w:r>
      <w:r w:rsidR="00C92C45">
        <w:rPr>
          <w:color w:val="FF0000"/>
          <w:u w:val="single"/>
        </w:rPr>
        <w:t>2015</w:t>
      </w:r>
      <w:r w:rsidRPr="00B77AE7">
        <w:t xml:space="preserve">, a </w:t>
      </w:r>
      <w:r w:rsidRPr="00B77AE7">
        <w:rPr>
          <w:b/>
          <w:bCs/>
        </w:rPr>
        <w:t xml:space="preserve">taxa média de mercado </w:t>
      </w:r>
      <w:r w:rsidRPr="00B77AE7">
        <w:t xml:space="preserve">divulgada pelo Banco Central do Brasil foi de: </w:t>
      </w:r>
      <w:r w:rsidR="00C92C45">
        <w:rPr>
          <w:color w:val="FF0000"/>
          <w:u w:val="single"/>
        </w:rPr>
        <w:t>2,12</w:t>
      </w:r>
      <w:r w:rsidRPr="00B77AE7">
        <w:rPr>
          <w:u w:val="single"/>
        </w:rPr>
        <w:t xml:space="preserve">% ao mês e </w:t>
      </w:r>
      <w:r w:rsidR="00B23F08">
        <w:rPr>
          <w:color w:val="FF0000"/>
          <w:u w:val="single"/>
        </w:rPr>
        <w:t>28,56</w:t>
      </w:r>
      <w:r w:rsidRPr="00B77AE7">
        <w:rPr>
          <w:u w:val="single"/>
        </w:rPr>
        <w:t>% ao ano</w:t>
      </w:r>
      <w:r w:rsidRPr="00B77AE7">
        <w:t>.</w:t>
      </w:r>
      <w:r w:rsidRPr="18498DC6">
        <w:rPr>
          <w:rStyle w:val="Refdenotaderodap"/>
          <w:rFonts w:asciiTheme="minorHAnsi" w:hAnsiTheme="minorHAnsi" w:cstheme="minorBidi"/>
          <w:sz w:val="24"/>
          <w:szCs w:val="24"/>
        </w:rPr>
        <w:t xml:space="preserve"> </w:t>
      </w:r>
      <w:r w:rsidRPr="18498DC6">
        <w:rPr>
          <w:rStyle w:val="Refdenotaderodap"/>
          <w:rFonts w:asciiTheme="minorHAnsi" w:hAnsiTheme="minorHAnsi" w:cstheme="minorBidi"/>
          <w:sz w:val="24"/>
          <w:szCs w:val="24"/>
        </w:rPr>
        <w:footnoteReference w:id="5"/>
      </w:r>
    </w:p>
    <w:p w14:paraId="5DAF1994" w14:textId="79F61DA8" w:rsidR="00085B04" w:rsidRPr="00B77AE7" w:rsidRDefault="00085B04" w:rsidP="00085B04">
      <w:pPr>
        <w:pStyle w:val="CORPOHOMERO"/>
      </w:pPr>
      <w:r w:rsidRPr="00B77AE7">
        <w:t xml:space="preserve">Ao se cotejar as taxas de juros remuneratórios citadas, constata-se que a taxa contratual </w:t>
      </w:r>
      <w:r w:rsidRPr="00B77AE7">
        <w:rPr>
          <w:u w:val="single"/>
        </w:rPr>
        <w:t xml:space="preserve">excede a taxa média em </w:t>
      </w:r>
      <w:r w:rsidR="00B35583">
        <w:rPr>
          <w:color w:val="FF0000"/>
          <w:u w:val="single"/>
        </w:rPr>
        <w:t>0,22</w:t>
      </w:r>
      <w:r w:rsidRPr="00B77AE7">
        <w:rPr>
          <w:u w:val="single"/>
        </w:rPr>
        <w:t>% ao mês</w:t>
      </w:r>
      <w:r w:rsidRPr="00B77AE7">
        <w:t xml:space="preserve"> e de </w:t>
      </w:r>
      <w:r w:rsidR="00B35583">
        <w:rPr>
          <w:color w:val="FF0000"/>
          <w:u w:val="single"/>
        </w:rPr>
        <w:t>3,46</w:t>
      </w:r>
      <w:r w:rsidRPr="00B77AE7">
        <w:rPr>
          <w:u w:val="single"/>
        </w:rPr>
        <w:t>% ao ano</w:t>
      </w:r>
      <w:r w:rsidRPr="00B77AE7">
        <w:t xml:space="preserve">, o que representa uma </w:t>
      </w:r>
      <w:r w:rsidRPr="00B77AE7">
        <w:rPr>
          <w:b/>
          <w:bCs/>
        </w:rPr>
        <w:t xml:space="preserve">diferença absurda de </w:t>
      </w:r>
      <w:r w:rsidR="009116C4">
        <w:rPr>
          <w:b/>
          <w:bCs/>
          <w:color w:val="FF0000"/>
        </w:rPr>
        <w:t>10,37</w:t>
      </w:r>
      <w:r w:rsidRPr="00B77AE7">
        <w:rPr>
          <w:b/>
          <w:bCs/>
        </w:rPr>
        <w:t>%</w:t>
      </w:r>
      <w:r w:rsidRPr="18498DC6">
        <w:rPr>
          <w:rStyle w:val="Refdenotaderodap"/>
          <w:rFonts w:asciiTheme="minorHAnsi" w:hAnsiTheme="minorHAnsi" w:cstheme="minorBidi"/>
          <w:sz w:val="24"/>
          <w:szCs w:val="24"/>
        </w:rPr>
        <w:footnoteReference w:id="6"/>
      </w:r>
      <w:r w:rsidRPr="00B77AE7">
        <w:rPr>
          <w:b/>
          <w:bCs/>
        </w:rPr>
        <w:t xml:space="preserve"> entre as taxas</w:t>
      </w:r>
      <w:r w:rsidRPr="00B77AE7">
        <w:t>.</w:t>
      </w:r>
    </w:p>
    <w:p w14:paraId="217532C9" w14:textId="6CFD0895" w:rsidR="00085B04" w:rsidRDefault="18498DC6" w:rsidP="00085B04">
      <w:pPr>
        <w:pStyle w:val="CORPOHOMERO"/>
      </w:pPr>
      <w:r>
        <w:t xml:space="preserve">Em termos pecuniários a situação é ainda mais absurda, porque a parte demandante pagará ao final do contrato um </w:t>
      </w:r>
      <w:r w:rsidRPr="00430619">
        <w:rPr>
          <w:u w:val="single"/>
        </w:rPr>
        <w:t xml:space="preserve">valor a maior de R$ </w:t>
      </w:r>
      <w:r w:rsidR="004B510F">
        <w:rPr>
          <w:color w:val="FF0000"/>
          <w:u w:val="single"/>
        </w:rPr>
        <w:t>675,10</w:t>
      </w:r>
      <w:r>
        <w:t>. Não só isso! O lucro bancário depois da revisão será praticamente igual ao valor que foi liberado à parte demandante, como bem demonstrado na planilha a seguir:</w:t>
      </w:r>
    </w:p>
    <w:p w14:paraId="4ADA952A" w14:textId="21F622B3" w:rsidR="00A21982" w:rsidRPr="00B77AE7" w:rsidRDefault="001D3B12" w:rsidP="001D3B12">
      <w:pPr>
        <w:pStyle w:val="CORPOHOMERO"/>
        <w:jc w:val="center"/>
      </w:pPr>
      <w:r>
        <w:rPr>
          <w:noProof/>
        </w:rPr>
        <w:drawing>
          <wp:inline distT="0" distB="0" distL="0" distR="0" wp14:anchorId="7A9DDFAD" wp14:editId="302BAE5D">
            <wp:extent cx="3653679" cy="3057957"/>
            <wp:effectExtent l="0" t="0" r="4445" b="0"/>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9"/>
                    <a:stretch>
                      <a:fillRect/>
                    </a:stretch>
                  </pic:blipFill>
                  <pic:spPr>
                    <a:xfrm>
                      <a:off x="0" y="0"/>
                      <a:ext cx="3666676" cy="3068835"/>
                    </a:xfrm>
                    <a:prstGeom prst="rect">
                      <a:avLst/>
                    </a:prstGeom>
                  </pic:spPr>
                </pic:pic>
              </a:graphicData>
            </a:graphic>
          </wp:inline>
        </w:drawing>
      </w:r>
    </w:p>
    <w:p w14:paraId="70F5E135" w14:textId="77777777" w:rsidR="00085B04" w:rsidRPr="00B77AE7" w:rsidRDefault="18498DC6" w:rsidP="00085B04">
      <w:pPr>
        <w:pStyle w:val="CORPOHOMERO"/>
      </w:pPr>
      <w:r>
        <w:t>Essa abissal diferença é a grande prova da violação dos princípios bases da política nacional da relação de consumo por parte da Demandada, em especial a boa-fé objetiva e o equilíbrio na relação entre consumidores e fornecedores (art. 4º, III, CDC).</w:t>
      </w:r>
    </w:p>
    <w:p w14:paraId="224C0B77" w14:textId="77777777" w:rsidR="00085B04" w:rsidRPr="00B77AE7" w:rsidRDefault="00085B04" w:rsidP="00085B04">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5A60A0CE" w14:textId="77777777" w:rsidR="00085B04" w:rsidRPr="00B77AE7" w:rsidRDefault="00085B04" w:rsidP="00085B04">
      <w:pPr>
        <w:pStyle w:val="CORPOHOMERO"/>
      </w:pPr>
      <w:r w:rsidRPr="00B77AE7">
        <w:t xml:space="preserve">Por fim, é curial mencionar que </w:t>
      </w:r>
      <w:r w:rsidRPr="00B77AE7">
        <w:rPr>
          <w:b/>
          <w:bCs/>
        </w:rPr>
        <w:t>não existe a falácia propugnada pelas instituições financeiras</w:t>
      </w:r>
      <w:r w:rsidRPr="00B77AE7">
        <w:t xml:space="preserve"> de que o Superior Tribunal de Justiça pacificou entendimento de que a abusividade da taxa de juros remuneratórios somente será acolhida quando houver excesso de 50% ou da chamada uma vez e meia (excesso de 150%).</w:t>
      </w:r>
    </w:p>
    <w:p w14:paraId="4805F11A" w14:textId="77777777" w:rsidR="00085B04" w:rsidRPr="00B77AE7" w:rsidRDefault="00085B04" w:rsidP="00085B04">
      <w:pPr>
        <w:pStyle w:val="CORPOHOMERO"/>
      </w:pPr>
      <w:r w:rsidRPr="00B77AE7">
        <w:t>O voto vencedor do recurso repetitivo</w:t>
      </w:r>
      <w:r w:rsidRPr="00B77AE7">
        <w:rPr>
          <w:rStyle w:val="Refdenotaderodap"/>
        </w:rPr>
        <w:footnoteReference w:id="7"/>
      </w:r>
      <w:r w:rsidRPr="00B77AE7">
        <w:t xml:space="preserve"> já citado no início deste tópico claramente assentou que: </w:t>
      </w:r>
      <w:r w:rsidRPr="18498DC6">
        <w:rPr>
          <w:i/>
          <w:iCs/>
        </w:rPr>
        <w:t xml:space="preserve">“esta perquirição acerca da abusividade não é estanque, o </w:t>
      </w:r>
      <w:r w:rsidRPr="18498DC6">
        <w:rPr>
          <w:i/>
          <w:iCs/>
          <w:u w:val="single"/>
        </w:rPr>
        <w:t xml:space="preserve">que </w:t>
      </w:r>
      <w:r w:rsidRPr="18498DC6">
        <w:rPr>
          <w:b/>
          <w:bCs/>
          <w:i/>
          <w:iCs/>
          <w:u w:val="single"/>
        </w:rPr>
        <w:t>im</w:t>
      </w:r>
      <w:r w:rsidRPr="18498DC6">
        <w:rPr>
          <w:i/>
          <w:iCs/>
          <w:u w:val="single"/>
        </w:rPr>
        <w:t>possibilita a adoção de critérios genéricos e universais</w:t>
      </w:r>
      <w:r w:rsidRPr="18498DC6">
        <w:rPr>
          <w:i/>
          <w:iCs/>
        </w:rPr>
        <w:t xml:space="preserve">. A taxa média de mercado, divulgada pelo Banco Central, constitui um valioso referencial, mas </w:t>
      </w:r>
      <w:r w:rsidRPr="18498DC6">
        <w:rPr>
          <w:i/>
          <w:iCs/>
          <w:u w:val="single"/>
        </w:rPr>
        <w:t>cabe somente ao juiz, no exame das peculiaridades do caso concreto, avaliar se os juros contratados foram ou não abusivos</w:t>
      </w:r>
      <w:r w:rsidRPr="18498DC6">
        <w:rPr>
          <w:i/>
          <w:iCs/>
        </w:rPr>
        <w:t>.” (g/n)</w:t>
      </w:r>
    </w:p>
    <w:p w14:paraId="26FF4C5C" w14:textId="77777777" w:rsidR="00085B04" w:rsidRPr="00B77AE7" w:rsidRDefault="00085B04" w:rsidP="00085B04">
      <w:pPr>
        <w:pStyle w:val="CORPOHOMERO"/>
      </w:pPr>
      <w:r w:rsidRPr="00B77AE7">
        <w:t>Não bastasse isso, o Tribunal da Cidadania veio a rechaçar tese levantada em outro REsp</w:t>
      </w:r>
      <w:r w:rsidRPr="00B77AE7">
        <w:rPr>
          <w:rStyle w:val="Refdenotaderodap"/>
        </w:rPr>
        <w:footnoteReference w:id="8"/>
      </w:r>
      <w:r w:rsidRPr="00B77AE7">
        <w:t xml:space="preserve"> de que a abusividade somente ocorreria quando houvesse excesso em 50% da taxa média. Neste julgado, ficou consignado que não há qualquer padronização objetiva pelo STJ sobre o assunto, nem mesmo recurso repetitivo Resp 1.061.530/RS.</w:t>
      </w:r>
      <w:r w:rsidRPr="00B77AE7">
        <w:rPr>
          <w:rStyle w:val="Refdenotaderodap"/>
        </w:rPr>
        <w:footnoteReference w:id="9"/>
      </w:r>
    </w:p>
    <w:p w14:paraId="10F75A56" w14:textId="4F3A59D6" w:rsidR="003D44FC" w:rsidRDefault="18498DC6" w:rsidP="00112DDD">
      <w:pPr>
        <w:pStyle w:val="CORPOHOMERO"/>
        <w:spacing w:after="0"/>
      </w:pPr>
      <w:r>
        <w:t xml:space="preserve">Por essas razões, </w:t>
      </w:r>
      <w:r w:rsidRPr="18498DC6">
        <w:rPr>
          <w:b/>
          <w:bCs/>
        </w:rPr>
        <w:t xml:space="preserve">há de se declarar a abusividade da </w:t>
      </w:r>
      <w:r w:rsidRPr="18498DC6">
        <w:rPr>
          <w:b/>
          <w:bCs/>
          <w:color w:val="FF0000"/>
        </w:rPr>
        <w:t>cláusula F.4</w:t>
      </w:r>
      <w:r>
        <w:t xml:space="preserve">, determinando-se a redução da taxa de juros remuneratórios do contrato para a média de mercado, qual seja, </w:t>
      </w:r>
      <w:r w:rsidR="00F542B9">
        <w:rPr>
          <w:color w:val="FF0000"/>
          <w:u w:val="single"/>
        </w:rPr>
        <w:t>2,12</w:t>
      </w:r>
      <w:r w:rsidRPr="18498DC6">
        <w:rPr>
          <w:u w:val="single"/>
        </w:rPr>
        <w:t xml:space="preserve">% ao mês e </w:t>
      </w:r>
      <w:r w:rsidR="00112DDD">
        <w:rPr>
          <w:color w:val="FF0000"/>
          <w:u w:val="single"/>
        </w:rPr>
        <w:t>28,56</w:t>
      </w:r>
      <w:r w:rsidRPr="18498DC6">
        <w:rPr>
          <w:u w:val="single"/>
        </w:rPr>
        <w:t>% ao ano</w:t>
      </w:r>
      <w:r>
        <w:t>.</w:t>
      </w:r>
    </w:p>
    <w:p w14:paraId="3CC216B4" w14:textId="77777777" w:rsidR="00B93CE9" w:rsidRDefault="00B93CE9" w:rsidP="00112DDD">
      <w:pPr>
        <w:pStyle w:val="CORPOHOMERO"/>
        <w:spacing w:after="0"/>
      </w:pPr>
    </w:p>
    <w:p w14:paraId="481D66C9" w14:textId="1FB8F548" w:rsidR="00B93CE9" w:rsidRPr="00BB3951" w:rsidRDefault="00B93CE9" w:rsidP="00B93CE9">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3</w:t>
      </w:r>
      <w:r w:rsidRPr="00BB3951">
        <w:rPr>
          <w:rFonts w:asciiTheme="minorHAnsi" w:hAnsiTheme="minorHAnsi" w:cstheme="minorHAnsi"/>
          <w:b/>
          <w:sz w:val="24"/>
          <w:szCs w:val="24"/>
          <w:u w:val="single"/>
        </w:rPr>
        <w:t>. Da abusividade da cláusula de juros remuneratórios</w:t>
      </w:r>
      <w:r w:rsidR="00E711F7">
        <w:rPr>
          <w:rFonts w:asciiTheme="minorHAnsi" w:hAnsiTheme="minorHAnsi" w:cstheme="minorHAnsi"/>
          <w:b/>
          <w:sz w:val="24"/>
          <w:szCs w:val="24"/>
          <w:u w:val="single"/>
        </w:rPr>
        <w:t xml:space="preserve"> por inobservância do limite fixado pelo INSS</w:t>
      </w:r>
      <w:r>
        <w:rPr>
          <w:rFonts w:asciiTheme="minorHAnsi" w:hAnsiTheme="minorHAnsi" w:cstheme="minorHAnsi"/>
          <w:b/>
          <w:sz w:val="24"/>
          <w:szCs w:val="24"/>
          <w:u w:val="single"/>
        </w:rPr>
        <w:t xml:space="preserve"> (tese </w:t>
      </w:r>
      <w:r w:rsidR="00E8241F">
        <w:rPr>
          <w:rFonts w:asciiTheme="minorHAnsi" w:hAnsiTheme="minorHAnsi" w:cstheme="minorHAnsi"/>
          <w:b/>
          <w:sz w:val="24"/>
          <w:szCs w:val="24"/>
          <w:u w:val="single"/>
        </w:rPr>
        <w:t>s</w:t>
      </w:r>
      <w:r w:rsidR="00C34030">
        <w:rPr>
          <w:rFonts w:asciiTheme="minorHAnsi" w:hAnsiTheme="minorHAnsi" w:cstheme="minorHAnsi"/>
          <w:b/>
          <w:sz w:val="24"/>
          <w:szCs w:val="24"/>
          <w:u w:val="single"/>
        </w:rPr>
        <w:t>ubsidiária</w:t>
      </w:r>
      <w:r>
        <w:rPr>
          <w:rFonts w:asciiTheme="minorHAnsi" w:hAnsiTheme="minorHAnsi" w:cstheme="minorHAnsi"/>
          <w:b/>
          <w:sz w:val="24"/>
          <w:szCs w:val="24"/>
          <w:u w:val="single"/>
        </w:rPr>
        <w:t>)</w:t>
      </w:r>
    </w:p>
    <w:p w14:paraId="4986815B" w14:textId="4E68B8C8" w:rsidR="00B93CE9" w:rsidRDefault="00C34030" w:rsidP="00B93CE9">
      <w:pPr>
        <w:pStyle w:val="CORPOHOMERO"/>
        <w:spacing w:after="0"/>
      </w:pPr>
      <w:r>
        <w:t>Na hipótese desse Juízo não acolher a argumentação anterior, é curial o enfrentament</w:t>
      </w:r>
      <w:r w:rsidR="00B20514">
        <w:t>o desse pleito, pois a abusividade nos juros praticados é uma questão objetiva e que não desperta grandes atenções.</w:t>
      </w:r>
    </w:p>
    <w:p w14:paraId="1AB1EEA3" w14:textId="3F6E66EA" w:rsidR="00587010" w:rsidRDefault="00622204" w:rsidP="00B93CE9">
      <w:pPr>
        <w:pStyle w:val="CORPOHOMERO"/>
        <w:spacing w:after="0"/>
      </w:pPr>
      <w:r>
        <w:t xml:space="preserve">A </w:t>
      </w:r>
      <w:r w:rsidR="0026678E">
        <w:t xml:space="preserve">fixação da taxa de juros remuneratórios no Brasil não tem, como regra, um limite objetivo definido, consoante </w:t>
      </w:r>
      <w:r>
        <w:t>fixa da Resolução CMN nº 1.064/85.</w:t>
      </w:r>
      <w:r w:rsidR="00A83542">
        <w:t xml:space="preserve"> No entanto, </w:t>
      </w:r>
      <w:r w:rsidR="00B67375">
        <w:t>uma das exceções a essa regra é o crédito consignado de pessoas que recebem algum benefício do INSS.</w:t>
      </w:r>
    </w:p>
    <w:p w14:paraId="02B1DE79" w14:textId="242CE32E" w:rsidR="00B67375" w:rsidRDefault="00C32565" w:rsidP="00B93CE9">
      <w:pPr>
        <w:pStyle w:val="CORPOHOMERO"/>
        <w:spacing w:after="0"/>
      </w:pPr>
      <w:r>
        <w:t>Isso porque o INSS regulamentou um teto de juros para os empréstimos firmados para desconto na folha de pagamento desse órgão previdenciário.</w:t>
      </w:r>
    </w:p>
    <w:p w14:paraId="466E5E5F" w14:textId="7CFD68D4" w:rsidR="00C32565" w:rsidRDefault="00755164" w:rsidP="00B93CE9">
      <w:pPr>
        <w:pStyle w:val="CORPOHOMERO"/>
        <w:spacing w:after="0"/>
      </w:pPr>
      <w:r>
        <w:t>Ao tempo da celebração do contrato (10/02/2015), vigia a Instrução Normativa INSS nº 128/</w:t>
      </w:r>
      <w:r w:rsidR="007C6170">
        <w:t>2008, com a redação dada pela Portaria INSS nº 623/2012</w:t>
      </w:r>
      <w:r w:rsidR="00E36AE3">
        <w:t>, a qual fixou os seguintes limites para os juros remuneratórios:</w:t>
      </w:r>
    </w:p>
    <w:p w14:paraId="57CE776D" w14:textId="2B111A97" w:rsidR="00E36AE3" w:rsidRPr="00E36AE3" w:rsidRDefault="00E36AE3" w:rsidP="00E36AE3">
      <w:pPr>
        <w:pStyle w:val="CORPOHOMERO"/>
        <w:spacing w:after="0"/>
        <w:ind w:left="1134" w:firstLine="0"/>
        <w:rPr>
          <w:sz w:val="19"/>
          <w:szCs w:val="18"/>
        </w:rPr>
      </w:pPr>
      <w:r>
        <w:rPr>
          <w:sz w:val="19"/>
          <w:szCs w:val="18"/>
        </w:rPr>
        <w:t>a</w:t>
      </w:r>
      <w:r w:rsidRPr="00E36AE3">
        <w:rPr>
          <w:sz w:val="19"/>
          <w:szCs w:val="18"/>
        </w:rPr>
        <w:t>rt. 1º Fixar os novos limites de taxas de juros a serem aplicados nas operações de crédito consignado, observando os seguintes critérios:</w:t>
      </w:r>
    </w:p>
    <w:p w14:paraId="3526F3F4" w14:textId="7CA47F57" w:rsidR="00E36AE3" w:rsidRPr="00E36AE3" w:rsidRDefault="00E36AE3" w:rsidP="00E36AE3">
      <w:pPr>
        <w:pStyle w:val="CORPOHOMERO"/>
        <w:spacing w:after="0"/>
        <w:ind w:left="1134" w:firstLine="0"/>
        <w:rPr>
          <w:sz w:val="19"/>
          <w:szCs w:val="18"/>
        </w:rPr>
      </w:pPr>
      <w:r w:rsidRPr="00E36AE3">
        <w:rPr>
          <w:sz w:val="19"/>
          <w:szCs w:val="18"/>
        </w:rPr>
        <w:t>I - a taxa de juros não poderá ser superior a 2,14% (dois inteiros e quatorze centésimos por cento) ao mês, devendo expressar o</w:t>
      </w:r>
      <w:r w:rsidRPr="00F63348">
        <w:rPr>
          <w:b/>
          <w:bCs/>
          <w:sz w:val="19"/>
          <w:szCs w:val="18"/>
        </w:rPr>
        <w:t xml:space="preserve"> custo efetivo do empréstimo</w:t>
      </w:r>
      <w:r w:rsidRPr="00E36AE3">
        <w:rPr>
          <w:sz w:val="19"/>
          <w:szCs w:val="18"/>
        </w:rPr>
        <w:t>; e</w:t>
      </w:r>
    </w:p>
    <w:p w14:paraId="7B35AF76" w14:textId="1912ECA8" w:rsidR="00B20514" w:rsidRPr="00112DDD" w:rsidRDefault="00E36AE3" w:rsidP="00E36AE3">
      <w:pPr>
        <w:pStyle w:val="CORPOHOMERO"/>
        <w:spacing w:after="0"/>
        <w:ind w:left="1134" w:firstLine="0"/>
        <w:rPr>
          <w:color w:val="FF0000"/>
          <w:u w:val="single"/>
        </w:rPr>
      </w:pPr>
      <w:r w:rsidRPr="00E36AE3">
        <w:rPr>
          <w:sz w:val="19"/>
          <w:szCs w:val="18"/>
        </w:rPr>
        <w:t>II - a taxa de juros não poderá ser superior a 3,06% (três inteiros e seis centésimos por cento) ao mês, de forma que expresse o custo efetivo.</w:t>
      </w:r>
      <w:r w:rsidRPr="00E36AE3">
        <w:rPr>
          <w:rStyle w:val="Refdenotaderodap"/>
          <w:color w:val="FF0000"/>
          <w:sz w:val="19"/>
          <w:szCs w:val="18"/>
          <w:u w:val="single"/>
        </w:rPr>
        <w:t xml:space="preserve"> </w:t>
      </w:r>
      <w:r w:rsidR="00E94FF5">
        <w:rPr>
          <w:rStyle w:val="Refdenotaderodap"/>
          <w:color w:val="FF0000"/>
          <w:u w:val="single"/>
        </w:rPr>
        <w:footnoteReference w:id="10"/>
      </w:r>
    </w:p>
    <w:p w14:paraId="7828D812" w14:textId="7DDD148A" w:rsidR="00255EA0" w:rsidRDefault="009C2922" w:rsidP="00E36AE3">
      <w:pPr>
        <w:pStyle w:val="CORPOHOMERO"/>
      </w:pPr>
      <w:r>
        <w:t>Cotejando o custo efetivo total do contrato</w:t>
      </w:r>
      <w:r w:rsidR="0066679F">
        <w:t xml:space="preserve"> de</w:t>
      </w:r>
      <w:r>
        <w:t xml:space="preserve"> 34,31% ao ano</w:t>
      </w:r>
      <w:r w:rsidR="00E358F5">
        <w:t xml:space="preserve"> e 2,</w:t>
      </w:r>
      <w:r w:rsidR="00E711F7">
        <w:t>34</w:t>
      </w:r>
      <w:r w:rsidR="00E358F5">
        <w:t>% ao mês</w:t>
      </w:r>
      <w:r w:rsidR="009E364B">
        <w:t xml:space="preserve"> com o teto </w:t>
      </w:r>
      <w:r w:rsidR="0066679F">
        <w:t xml:space="preserve">do INSS, </w:t>
      </w:r>
      <w:r w:rsidR="009F491C">
        <w:t>tem</w:t>
      </w:r>
      <w:r w:rsidR="00CE1F61">
        <w:t>-se</w:t>
      </w:r>
      <w:r w:rsidR="009F491C">
        <w:t xml:space="preserve"> um verdadeiro desrespeito à normativa de regência que deve ser prontamente vetada pelo Poder Judiciário.</w:t>
      </w:r>
    </w:p>
    <w:p w14:paraId="6C3EBD76" w14:textId="427D980F" w:rsidR="00CE1F61" w:rsidRDefault="00EA555D" w:rsidP="00E36AE3">
      <w:pPr>
        <w:pStyle w:val="CORPOHOMERO"/>
      </w:pPr>
      <w:r>
        <w:t>Sobre a utilização do custo efetivo total como parâmetro de controle, colhem-se os seguintes julgados:</w:t>
      </w:r>
    </w:p>
    <w:p w14:paraId="32238256" w14:textId="0CD4E84A" w:rsidR="00EA555D" w:rsidRPr="00EA555D" w:rsidRDefault="00EA555D" w:rsidP="00EA555D">
      <w:pPr>
        <w:pStyle w:val="CORPOHOMERO"/>
        <w:ind w:left="1134" w:firstLine="0"/>
        <w:rPr>
          <w:sz w:val="19"/>
          <w:szCs w:val="18"/>
        </w:rPr>
      </w:pPr>
      <w:r w:rsidRPr="00EA555D">
        <w:rPr>
          <w:sz w:val="19"/>
          <w:szCs w:val="18"/>
        </w:rPr>
        <w:t xml:space="preserve">6500284261 - APELAÇÃO. Ação revisional de contrato bancário. </w:t>
      </w:r>
      <w:r w:rsidRPr="00EA555D">
        <w:rPr>
          <w:b/>
          <w:bCs/>
          <w:sz w:val="19"/>
          <w:szCs w:val="18"/>
        </w:rPr>
        <w:t>Cédula de crédito bancário com pagamento por consignação junto ao benefício do INSS.</w:t>
      </w:r>
      <w:r w:rsidRPr="00EA555D">
        <w:rPr>
          <w:sz w:val="19"/>
          <w:szCs w:val="18"/>
        </w:rPr>
        <w:t xml:space="preserve"> Sentença de improcedência. Demandante condenada a arcar com o ônus decorrente da sucumbência. </w:t>
      </w:r>
      <w:r w:rsidR="00E711F7">
        <w:rPr>
          <w:sz w:val="19"/>
          <w:szCs w:val="18"/>
        </w:rPr>
        <w:t>[...]</w:t>
      </w:r>
      <w:r w:rsidRPr="00EA555D">
        <w:rPr>
          <w:sz w:val="19"/>
          <w:szCs w:val="18"/>
        </w:rPr>
        <w:t xml:space="preserve">. Taxa de juros remuneratórios relativa ao custo efetivo total questionada pela autora. </w:t>
      </w:r>
      <w:r w:rsidRPr="00EA555D">
        <w:rPr>
          <w:sz w:val="19"/>
          <w:szCs w:val="18"/>
          <w:u w:val="single"/>
        </w:rPr>
        <w:t>O contrato celebrado entre as partes previu uma taxa de juros de 2,47% ao mês a título de custo efetivo total, desrespeitando a legislação incidente</w:t>
      </w:r>
      <w:r w:rsidRPr="00EA555D">
        <w:rPr>
          <w:sz w:val="19"/>
          <w:szCs w:val="18"/>
        </w:rPr>
        <w:t xml:space="preserve"> que d</w:t>
      </w:r>
      <w:r w:rsidRPr="00EA555D">
        <w:rPr>
          <w:b/>
          <w:bCs/>
          <w:sz w:val="19"/>
          <w:szCs w:val="18"/>
        </w:rPr>
        <w:t>eterminava que a taxa de juros não poderia ser superior a 2,34% ao mês</w:t>
      </w:r>
      <w:r w:rsidRPr="00EA555D">
        <w:rPr>
          <w:sz w:val="19"/>
          <w:szCs w:val="18"/>
        </w:rPr>
        <w:t xml:space="preserve">, </w:t>
      </w:r>
      <w:r w:rsidRPr="00EA555D">
        <w:rPr>
          <w:sz w:val="19"/>
          <w:szCs w:val="18"/>
          <w:u w:val="single"/>
        </w:rPr>
        <w:t>devendo expressar o custo efetivo para as operações em empréstimo consignado</w:t>
      </w:r>
      <w:r w:rsidRPr="00EA555D">
        <w:rPr>
          <w:sz w:val="19"/>
          <w:szCs w:val="18"/>
        </w:rPr>
        <w:t>. Como o banco réu deverá reduzir a taxa de juros mensal do custo efetivo total da operação de 2,47% para 2,34% ao mês, por óbvio que essa redução irá impactar na taxa contratual aplicada ao cartão, que estava prevista no contrato em 2,34% ao mês. Portanto, em fase de liquidação de sentença o banco requerido deverá apresentar o recálculo da dívida com a aplicação da taxa de juros prevista em contrato para que o custo efetivo total não seja superior a 2,34% ao mês</w:t>
      </w:r>
      <w:r w:rsidR="00E711F7">
        <w:rPr>
          <w:sz w:val="19"/>
          <w:szCs w:val="18"/>
        </w:rPr>
        <w:t>[...]</w:t>
      </w:r>
      <w:r w:rsidRPr="00EA555D">
        <w:rPr>
          <w:sz w:val="19"/>
          <w:szCs w:val="18"/>
        </w:rPr>
        <w:t>. Apelo provido. (TJSP; AC 1014883-94.2021.8.26.0196; Ac. 15545427; Franca; Vigésima Câmara de Direito Privado; Rel. Des. Roberto Maia; Julg. 31/03/2022; DJESP 08/04/2022; Pág. 2399)</w:t>
      </w:r>
      <w:r>
        <w:rPr>
          <w:rStyle w:val="Refdenotaderodap"/>
          <w:sz w:val="19"/>
          <w:szCs w:val="18"/>
        </w:rPr>
        <w:footnoteReference w:id="11"/>
      </w:r>
    </w:p>
    <w:p w14:paraId="12A44004" w14:textId="75FE62C5" w:rsidR="00151DFA" w:rsidRDefault="00E711F7" w:rsidP="00E36AE3">
      <w:pPr>
        <w:pStyle w:val="CORPOHOMERO"/>
      </w:pPr>
      <w:r>
        <w:t>Dessa arte, deve ser revista a taxa de juros remuneratórios constante da cláusula nº__, para o fim de reduzi-la para o importe do teto do INSS, qual seja: 2,14% ao mês (representativo do custo efetivo total)</w:t>
      </w:r>
    </w:p>
    <w:p w14:paraId="77410DEB" w14:textId="77777777" w:rsidR="00E711F7" w:rsidRPr="00BB3951" w:rsidRDefault="00E711F7" w:rsidP="00E36AE3">
      <w:pPr>
        <w:pStyle w:val="CORPOHOMERO"/>
      </w:pPr>
    </w:p>
    <w:p w14:paraId="50482DC0" w14:textId="49D362F8"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B31962">
        <w:rPr>
          <w:rFonts w:asciiTheme="minorHAnsi" w:hAnsiTheme="minorHAnsi" w:cstheme="minorBidi"/>
          <w:b/>
          <w:bCs/>
          <w:sz w:val="24"/>
          <w:szCs w:val="24"/>
          <w:u w:val="single"/>
        </w:rPr>
        <w:t>4</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77777777" w:rsidR="00381652" w:rsidRPr="00BB3951" w:rsidRDefault="00381652" w:rsidP="001704EC">
      <w:pPr>
        <w:pStyle w:val="CORPOHOMERO"/>
      </w:pPr>
      <w:r w:rsidRPr="00BB3951">
        <w:t>As cláusulas contratuais objeto desta ação já estão anunciadas nas linhas volvidas.</w:t>
      </w:r>
    </w:p>
    <w:p w14:paraId="3D2C576F" w14:textId="77777777" w:rsidR="00381652" w:rsidRPr="00BB3951" w:rsidRDefault="00381652" w:rsidP="001704EC">
      <w:pPr>
        <w:pStyle w:val="CORPOHOMERO"/>
      </w:pPr>
      <w:r w:rsidRPr="00BB3951">
        <w:t xml:space="preserve">Em decorrência das abusividades contratuais apontadas nesta ação, a </w:t>
      </w:r>
      <w:r w:rsidRPr="00BB3951">
        <w:rPr>
          <w:b/>
          <w:bCs/>
        </w:rPr>
        <w:t>prestação mensal incontroversa é de R$ xxx,xx (por extenso).</w:t>
      </w:r>
    </w:p>
    <w:p w14:paraId="6E926D62" w14:textId="7D01DD43" w:rsidR="00381652" w:rsidRPr="00BB3951" w:rsidRDefault="00381652" w:rsidP="00A94DF8">
      <w:pPr>
        <w:pStyle w:val="CORPOHOMERO"/>
        <w:rPr>
          <w:rFonts w:asciiTheme="minorHAnsi" w:hAnsiTheme="minorHAnsi" w:cstheme="minorHAnsi"/>
          <w:sz w:val="24"/>
          <w:szCs w:val="24"/>
        </w:rPr>
      </w:pPr>
      <w:r w:rsidRPr="00BB3951">
        <w:t xml:space="preserve">O </w:t>
      </w:r>
      <w:r w:rsidRPr="00BB3951">
        <w:rPr>
          <w:u w:val="single"/>
        </w:rPr>
        <w:t xml:space="preserve">valor supra é fruto da </w:t>
      </w:r>
      <w:r w:rsidR="00B31962">
        <w:rPr>
          <w:u w:val="single"/>
        </w:rPr>
        <w:t>correção</w:t>
      </w:r>
      <w:r w:rsidRPr="00BB3951">
        <w:t xml:space="preserve"> da nova taxa de juros (média de mercado)</w:t>
      </w:r>
      <w:r w:rsidR="00CD635C">
        <w:t xml:space="preserve"> à normativa do INSS</w:t>
      </w:r>
      <w:r w:rsidRPr="00BB3951">
        <w:t>, o que está sintetizado pela planilha seguinte:</w:t>
      </w:r>
    </w:p>
    <w:bookmarkStart w:id="0" w:name="_MON_1641887145"/>
    <w:bookmarkEnd w:id="0"/>
    <w:p w14:paraId="027B2991" w14:textId="31A74429" w:rsidR="00381652" w:rsidRPr="00BB3951" w:rsidRDefault="007339EB" w:rsidP="00381652">
      <w:pPr>
        <w:tabs>
          <w:tab w:val="left" w:pos="2160"/>
        </w:tabs>
        <w:spacing w:after="0" w:line="360" w:lineRule="auto"/>
        <w:jc w:val="center"/>
        <w:rPr>
          <w:rFonts w:asciiTheme="minorHAnsi" w:hAnsiTheme="minorHAnsi" w:cstheme="minorHAnsi"/>
          <w:sz w:val="24"/>
          <w:szCs w:val="24"/>
        </w:rPr>
      </w:pPr>
      <w:r w:rsidRPr="00BB3951">
        <w:rPr>
          <w:rFonts w:asciiTheme="minorHAnsi" w:eastAsia="Times New Roman" w:hAnsiTheme="minorHAnsi" w:cstheme="minorHAnsi"/>
          <w:sz w:val="14"/>
          <w:szCs w:val="14"/>
        </w:rPr>
        <w:object w:dxaOrig="7569" w:dyaOrig="2150" w14:anchorId="442EB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05pt;height:146.95pt" o:ole="">
            <v:imagedata r:id="rId10" o:title=""/>
          </v:shape>
          <o:OLEObject Type="Embed" ProgID="Excel.Sheet.12" ShapeID="_x0000_i1025" DrawAspect="Content" ObjectID="_1711302261" r:id="rId11"/>
        </w:object>
      </w:r>
    </w:p>
    <w:p w14:paraId="07D5A862" w14:textId="3DED45C2" w:rsidR="00381652" w:rsidRPr="00BB3951" w:rsidRDefault="00381652" w:rsidP="001704EC">
      <w:pPr>
        <w:pStyle w:val="CORPOHOMERO"/>
      </w:pPr>
      <w:r w:rsidRPr="00BB3951">
        <w:t xml:space="preserve">Ainda, informa-se que até o ajuizamento da ação o Demandante </w:t>
      </w:r>
      <w:r w:rsidR="001704EC" w:rsidRPr="00BB3951">
        <w:t>pagou</w:t>
      </w:r>
      <w:r w:rsidRPr="00BB3951">
        <w:t xml:space="preserve"> xx (três) parcelas pontualmente de um total de 48 prestações.</w:t>
      </w:r>
    </w:p>
    <w:p w14:paraId="4149C6C1" w14:textId="6A855874" w:rsidR="00381652" w:rsidRDefault="18498DC6" w:rsidP="001704EC">
      <w:pPr>
        <w:pStyle w:val="CORPOHOMERO"/>
        <w:rPr>
          <w:sz w:val="20"/>
          <w:szCs w:val="20"/>
        </w:rPr>
      </w:pPr>
      <w:r>
        <w:t xml:space="preserve">Assim, </w:t>
      </w:r>
      <w:r w:rsidRPr="18498DC6">
        <w:rPr>
          <w:u w:val="single"/>
        </w:rPr>
        <w:t>o Demandante ainda tem o dever de pagar 45 (quarenta e cinco) parcelas</w:t>
      </w:r>
      <w:r>
        <w:t>, porém sob o valor aqui fixado como incontroverso, qual seja, R$ 480,66 (art. 330, §3º, CPC).</w:t>
      </w:r>
      <w:r w:rsidRPr="18498DC6">
        <w:rPr>
          <w:sz w:val="20"/>
          <w:szCs w:val="20"/>
        </w:rPr>
        <w:t xml:space="preserve"> </w:t>
      </w:r>
    </w:p>
    <w:p w14:paraId="3C6C0B95" w14:textId="77777777" w:rsidR="001704EC" w:rsidRPr="00BB3951" w:rsidRDefault="001704EC" w:rsidP="001704EC">
      <w:pPr>
        <w:pStyle w:val="CORPOHOMERO"/>
        <w:rPr>
          <w:sz w:val="20"/>
          <w:szCs w:val="20"/>
        </w:rPr>
      </w:pPr>
    </w:p>
    <w:p w14:paraId="0F8DF27A" w14:textId="59CBC1C2" w:rsidR="002771FE" w:rsidRPr="00BB3951" w:rsidRDefault="002771FE" w:rsidP="002771FE">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E711F7">
        <w:rPr>
          <w:rFonts w:asciiTheme="minorHAnsi" w:hAnsiTheme="minorHAnsi" w:cstheme="minorHAnsi"/>
          <w:b/>
          <w:sz w:val="24"/>
          <w:szCs w:val="24"/>
          <w:u w:val="single"/>
        </w:rPr>
        <w:t>5</w:t>
      </w:r>
      <w:r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3638A15C"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E777D9" w:rsidRPr="00BB3951">
        <w:t xml:space="preserve">e </w:t>
      </w:r>
      <w:r w:rsidR="003C6866" w:rsidRPr="00BB3951">
        <w:t xml:space="preserve">da capitalização de juros </w:t>
      </w:r>
      <w:r w:rsidRPr="00BB3951">
        <w:t>afasta a mora do consumidor.</w:t>
      </w:r>
      <w:r w:rsidRPr="18498DC6">
        <w:rPr>
          <w:rStyle w:val="Refdenotaderodap"/>
          <w:rFonts w:asciiTheme="minorHAnsi" w:hAnsiTheme="minorHAnsi" w:cstheme="minorBidi"/>
          <w:sz w:val="24"/>
          <w:szCs w:val="24"/>
        </w:rPr>
        <w:footnoteReference w:id="12"/>
      </w:r>
    </w:p>
    <w:p w14:paraId="6E123AAF" w14:textId="77777777"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isto é, juros remuneratórios. Mais do que isso. Está demonstrada a clara abusividade deste encargo contratual.</w:t>
      </w:r>
    </w:p>
    <w:p w14:paraId="7058762D" w14:textId="77777777" w:rsidR="002771FE" w:rsidRPr="00BB3951" w:rsidRDefault="002771FE" w:rsidP="00E777D9">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Pr="00BB3951">
        <w:t xml:space="preserve">das </w:t>
      </w:r>
      <w:r w:rsidRPr="00BB3951">
        <w:rPr>
          <w:u w:val="single"/>
        </w:rPr>
        <w:t>prestações pagas de modo impontual</w:t>
      </w:r>
      <w:r w:rsidRPr="00BB3951">
        <w:t xml:space="preserve"> antes do ajuizamento da ação, como também para o </w:t>
      </w:r>
      <w:r w:rsidRPr="00BB3951">
        <w:rPr>
          <w:u w:val="single"/>
        </w:rPr>
        <w:t>pagamento das prestações feitos no curso do processo</w:t>
      </w:r>
      <w:r w:rsidRPr="00BB3951">
        <w:t xml:space="preserve"> apenas sob o valor incontroverso desta demanda.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34891F3D"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9B47E0">
        <w:rPr>
          <w:rFonts w:asciiTheme="minorHAnsi" w:hAnsiTheme="minorHAnsi" w:cstheme="minorHAnsi"/>
          <w:b/>
          <w:sz w:val="24"/>
          <w:szCs w:val="24"/>
          <w:u w:val="single"/>
        </w:rPr>
        <w:t>6</w:t>
      </w:r>
      <w:r w:rsidRPr="00BB3951">
        <w:rPr>
          <w:rFonts w:asciiTheme="minorHAnsi" w:hAnsiTheme="minorHAnsi" w:cstheme="minorHAnsi"/>
          <w:b/>
          <w:sz w:val="24"/>
          <w:szCs w:val="24"/>
          <w:u w:val="single"/>
        </w:rPr>
        <w:t>. Repetição do Indébito</w:t>
      </w: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2805BE6E"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13"/>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4C88393A"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9B47E0">
        <w:rPr>
          <w:rFonts w:asciiTheme="minorHAnsi" w:hAnsiTheme="minorHAnsi" w:cstheme="minorBidi"/>
          <w:b/>
          <w:bCs/>
          <w:sz w:val="24"/>
          <w:szCs w:val="24"/>
          <w:u w:val="single"/>
        </w:rPr>
        <w:t>7</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07E59558" w:rsidR="00014E9D" w:rsidRPr="00BB3951" w:rsidRDefault="18498DC6" w:rsidP="00B03D30">
      <w:pPr>
        <w:pStyle w:val="CORPOHOMERO"/>
      </w:pPr>
      <w:r>
        <w:t xml:space="preserve">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 </w:t>
      </w:r>
    </w:p>
    <w:p w14:paraId="5024C7A8" w14:textId="77777777" w:rsidR="00014E9D" w:rsidRPr="00BB3951" w:rsidRDefault="18498DC6" w:rsidP="00B03D30">
      <w:pPr>
        <w:pStyle w:val="CORPOHOMERO"/>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Aqui incide sobre o Consumidor a plena dificuldade de produzir provas em seu favor, uma vez que a parte autora </w:t>
      </w:r>
      <w:r w:rsidRPr="18498DC6">
        <w:rPr>
          <w:u w:val="single"/>
        </w:rPr>
        <w:t>não tem a mínima condição de demonstrar que há justificativa concreta que dá suporte à taxa de juros praticada</w:t>
      </w:r>
      <w:r>
        <w:t xml:space="preserve">. Ao contrário, é impossível ao consumidor provar o chamado spread bancário, pois essa informação está no domínio única da parte ré. </w:t>
      </w:r>
    </w:p>
    <w:p w14:paraId="17D4C69A" w14:textId="0E3FE8FD" w:rsidR="18498DC6" w:rsidRDefault="18498DC6" w:rsidP="18498DC6">
      <w:pPr>
        <w:pStyle w:val="CORPOHOMERO"/>
        <w:rPr>
          <w:szCs w:val="23"/>
        </w:rPr>
      </w:pPr>
      <w:r w:rsidRPr="18498DC6">
        <w:rPr>
          <w:szCs w:val="23"/>
        </w:rPr>
        <w:t>À parte demandante também é impossível produzir prova negativa de não foram prestados os serviços de registro do contrato e avaliação do bem, como também que não lhe foi dada oportunidade de escolher entre contratar, ou não, o seguro.</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4"/>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12A47D1B"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I</w:t>
      </w:r>
      <w:r w:rsidR="00060F54">
        <w:rPr>
          <w:rFonts w:asciiTheme="minorHAnsi" w:hAnsiTheme="minorHAnsi" w:cstheme="minorBidi"/>
          <w:b/>
          <w:bCs/>
          <w:sz w:val="24"/>
          <w:szCs w:val="24"/>
        </w:rPr>
        <w:t>V</w:t>
      </w:r>
      <w:r w:rsidRPr="18498DC6">
        <w:rPr>
          <w:rFonts w:asciiTheme="minorHAnsi" w:hAnsiTheme="minorHAnsi" w:cstheme="minorBidi"/>
          <w:b/>
          <w:bCs/>
          <w:sz w:val="24"/>
          <w:szCs w:val="24"/>
        </w:rPr>
        <w:t xml:space="preserve">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3504A5F" w14:textId="04E6693C" w:rsidR="00E41C4A"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I</w:t>
      </w:r>
      <w:r w:rsidR="00060F54">
        <w:rPr>
          <w:rFonts w:asciiTheme="minorHAnsi" w:hAnsiTheme="minorHAnsi" w:cstheme="minorBidi"/>
          <w:b/>
          <w:bCs/>
          <w:sz w:val="24"/>
          <w:szCs w:val="24"/>
          <w:u w:val="single"/>
        </w:rPr>
        <w:t>V</w:t>
      </w:r>
      <w:r w:rsidRPr="18498DC6">
        <w:rPr>
          <w:rFonts w:asciiTheme="minorHAnsi" w:hAnsiTheme="minorHAnsi" w:cstheme="minorBidi"/>
          <w:b/>
          <w:bCs/>
          <w:sz w:val="24"/>
          <w:szCs w:val="24"/>
          <w:u w:val="single"/>
        </w:rPr>
        <w:t>. 1. tutela antecipatória</w:t>
      </w: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419F846A"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 os juros praticados no contrato questionado nesta ação são completamente abusivos</w:t>
      </w:r>
      <w:r>
        <w:t>, eis que sobejam muito a taxa média divulgada pelo Banco Central do Brasil (</w:t>
      </w:r>
      <w:r w:rsidRPr="18498DC6">
        <w:rPr>
          <w:b/>
          <w:bCs/>
        </w:rPr>
        <w:t>a diferença entre as taxas é de</w:t>
      </w:r>
      <w:r w:rsidR="00361DBD">
        <w:rPr>
          <w:b/>
          <w:bCs/>
        </w:rPr>
        <w:t xml:space="preserve"> </w:t>
      </w:r>
      <w:r w:rsidR="00060F54">
        <w:rPr>
          <w:b/>
          <w:bCs/>
        </w:rPr>
        <w:t>xxxxx</w:t>
      </w:r>
      <w:r w:rsidRPr="18498DC6">
        <w:rPr>
          <w:b/>
          <w:bCs/>
        </w:rPr>
        <w:t>%</w:t>
      </w:r>
      <w:r>
        <w:t>).</w:t>
      </w:r>
      <w:r w:rsidR="00060F54">
        <w:t xml:space="preserve"> Além disso, </w:t>
      </w:r>
      <w:r w:rsidR="00060F54" w:rsidRPr="00E711F7">
        <w:rPr>
          <w:u w:val="single"/>
        </w:rPr>
        <w:t xml:space="preserve">há verdadeiro </w:t>
      </w:r>
      <w:r w:rsidR="0050027F" w:rsidRPr="00E711F7">
        <w:rPr>
          <w:u w:val="single"/>
        </w:rPr>
        <w:t>desrespeito ao teto de juros fixado pelo INSS</w:t>
      </w:r>
      <w:r w:rsidR="0050027F">
        <w:t>.</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18498DC6">
        <w:rPr>
          <w:rStyle w:val="Refdenotaderodap"/>
          <w:rFonts w:asciiTheme="minorHAnsi" w:hAnsiTheme="minorHAnsi" w:cstheme="minorBidi"/>
          <w:sz w:val="24"/>
          <w:szCs w:val="24"/>
        </w:rPr>
        <w:footnoteReference w:id="15"/>
      </w:r>
      <w:r w:rsidRPr="00BB3951">
        <w:t xml:space="preserve">  </w:t>
      </w:r>
    </w:p>
    <w:p w14:paraId="171978DC" w14:textId="3B1E8D82" w:rsidR="000F5A50" w:rsidRPr="00BB3951" w:rsidRDefault="000F5A50" w:rsidP="001768D8">
      <w:pPr>
        <w:pStyle w:val="CORPOHOMERO"/>
      </w:pPr>
      <w:r w:rsidRPr="00BB3951">
        <w:t xml:space="preserve">O </w:t>
      </w:r>
      <w:r w:rsidRPr="00BB3951">
        <w:rPr>
          <w:b/>
          <w:bCs/>
          <w:u w:val="single"/>
        </w:rPr>
        <w:t>perigo da demora</w:t>
      </w:r>
      <w:r w:rsidRPr="00BB3951">
        <w:t xml:space="preserve"> exsurge dos elementos juntados nesta peça inaugural, na medida em que a espera por um provimento jurisdicional final (em sede de cognição exauriente) prejudicará sobremaneira, ou quiçá tornará imprestável, o direito da parte demandante buscado nesta demanda. </w:t>
      </w:r>
      <w:r w:rsidR="001A4EFD" w:rsidRPr="00BB3951">
        <w:t>Isto porque o abuso do direito pela Demandada (prática de juros extorsivos) compromete o cumprimento do contrato e a própria subsistência mensal da parte Demandante.</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3A7B97F1" w:rsidR="00C06512" w:rsidRPr="00BB3951" w:rsidRDefault="18498DC6" w:rsidP="001768D8">
      <w:pPr>
        <w:pStyle w:val="CORPOHOMERO"/>
      </w:pPr>
      <w:r>
        <w:t xml:space="preserve">Dessa arte, merece ser concedida a tutela de urgência satisfativa (antecipada) no caso presente, para determinar que </w:t>
      </w:r>
      <w:r w:rsidRPr="18498DC6">
        <w:rPr>
          <w:b/>
          <w:bCs/>
        </w:rPr>
        <w:t xml:space="preserve">a Demandada </w:t>
      </w:r>
      <w:r w:rsidR="00C2207C">
        <w:rPr>
          <w:b/>
          <w:bCs/>
        </w:rPr>
        <w:t xml:space="preserve">passe a debitar </w:t>
      </w:r>
      <w:r w:rsidR="00AE1806">
        <w:rPr>
          <w:b/>
          <w:bCs/>
        </w:rPr>
        <w:t>n</w:t>
      </w:r>
      <w:r w:rsidR="00C2207C">
        <w:rPr>
          <w:b/>
          <w:bCs/>
        </w:rPr>
        <w:t>a folha de pagamento</w:t>
      </w:r>
      <w:r w:rsidRPr="18498DC6">
        <w:rPr>
          <w:b/>
          <w:bCs/>
        </w:rPr>
        <w:t xml:space="preserve"> das prestações vincendas do contrato</w:t>
      </w:r>
      <w:r w:rsidR="00AE1806">
        <w:t xml:space="preserve"> </w:t>
      </w:r>
      <w:r w:rsidRPr="18498DC6">
        <w:rPr>
          <w:u w:val="single"/>
        </w:rPr>
        <w:t>o exato valor apontado como incontroverso nesta demanda</w:t>
      </w:r>
      <w:r>
        <w:t xml:space="preserve">, ou seja, R$ </w:t>
      </w:r>
      <w:r w:rsidR="00AE1806">
        <w:t>XXXX</w:t>
      </w:r>
      <w:r>
        <w:t>.</w:t>
      </w:r>
    </w:p>
    <w:p w14:paraId="608ED81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8FB0C9" w14:textId="6FC7D64E" w:rsidR="00E41C4A"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III. 2. tutela acautelatória</w:t>
      </w:r>
    </w:p>
    <w:p w14:paraId="0F1EA599" w14:textId="12A9AC00" w:rsidR="001768D8" w:rsidRPr="00BB3951" w:rsidRDefault="001768D8" w:rsidP="001768D8">
      <w:pPr>
        <w:pStyle w:val="CORPOHOMERO"/>
      </w:pPr>
      <w:r w:rsidRPr="00BB3951">
        <w:t xml:space="preserve">Como corolário da tutela antecipada (satisfativa), é necessário que neste processo também se </w:t>
      </w:r>
      <w:r w:rsidRPr="00BB3951">
        <w:rPr>
          <w:b/>
          <w:bCs/>
        </w:rPr>
        <w:t>assegure o direito à revisão de cláusulas contratuais abusivas</w:t>
      </w:r>
      <w:r w:rsidRPr="00BB3951">
        <w:t xml:space="preserve"> </w:t>
      </w:r>
      <w:r w:rsidRPr="00BB3951">
        <w:rPr>
          <w:u w:val="single"/>
        </w:rPr>
        <w:t xml:space="preserve">sem o risco de a consumidora ter seu nome inserido nos cadastros de inadimplentes </w:t>
      </w:r>
      <w:r w:rsidRPr="00BB3951">
        <w:t xml:space="preserve">ou </w:t>
      </w:r>
      <w:r w:rsidRPr="00BB3951">
        <w:rPr>
          <w:u w:val="single"/>
        </w:rPr>
        <w:t>sofra eventual ação de cobrança</w:t>
      </w:r>
      <w:r w:rsidRPr="00BB3951">
        <w:t xml:space="preserve"> (conhecimento ou executiva) do contrato no seu valor global.</w:t>
      </w:r>
    </w:p>
    <w:p w14:paraId="5A769EBE" w14:textId="77777777" w:rsidR="001768D8" w:rsidRPr="00BB3951" w:rsidRDefault="001768D8" w:rsidP="001768D8">
      <w:pPr>
        <w:pStyle w:val="CORPOHOMERO"/>
      </w:pPr>
      <w:r w:rsidRPr="00BB3951">
        <w:t xml:space="preserve">A </w:t>
      </w:r>
      <w:r w:rsidRPr="00BB3951">
        <w:rPr>
          <w:b/>
          <w:bCs/>
        </w:rPr>
        <w:t>probabilidade do direito</w:t>
      </w:r>
      <w:r w:rsidRPr="00BB3951">
        <w:t xml:space="preserve"> aqui é idêntica à tutela antecipada, ou seja, já está fartamente demonstrado que a revisão do contrato está calcada em provas e fundamentos jurídicos idôneos.</w:t>
      </w:r>
    </w:p>
    <w:p w14:paraId="171F0838" w14:textId="77777777" w:rsidR="001768D8" w:rsidRPr="00BB3951" w:rsidRDefault="001768D8" w:rsidP="001768D8">
      <w:pPr>
        <w:pStyle w:val="CORPOHOMERO"/>
      </w:pPr>
      <w:r w:rsidRPr="00BB3951">
        <w:t xml:space="preserve">A </w:t>
      </w:r>
      <w:r w:rsidRPr="00BB3951">
        <w:rPr>
          <w:b/>
          <w:bCs/>
        </w:rPr>
        <w:t>urgência</w:t>
      </w:r>
      <w:r w:rsidRPr="00BB3951">
        <w:t xml:space="preserve"> do caso advém do fato de que </w:t>
      </w:r>
      <w:r w:rsidRPr="00BB3951">
        <w:rPr>
          <w:u w:val="single"/>
        </w:rPr>
        <w:t>eventual anotação do nome da parte consumidora no rol de maus pagadores</w:t>
      </w:r>
      <w:r w:rsidRPr="00BB3951">
        <w:t xml:space="preserve"> ensejaria o fechamento do mercado de consumo para a ela, que depende de seu bom nome para continuar comprando.</w:t>
      </w:r>
    </w:p>
    <w:p w14:paraId="1CAFDF83" w14:textId="77777777" w:rsidR="001768D8" w:rsidRPr="00BB3951" w:rsidRDefault="001768D8" w:rsidP="001768D8">
      <w:pPr>
        <w:pStyle w:val="CORPOHOMERO"/>
      </w:pPr>
      <w:r w:rsidRPr="00BB3951">
        <w:t>Ainda, eventual cobrança judicial do contrato poderia ensejar a apreensão do veículo, quando a Demandante não se recusa a pagar sua dívida, mas sim que ela seja fixada em valor justo.</w:t>
      </w:r>
    </w:p>
    <w:p w14:paraId="05D6DFCB" w14:textId="4D74819C" w:rsidR="001768D8" w:rsidRPr="00BB3951" w:rsidRDefault="001768D8" w:rsidP="001768D8">
      <w:pPr>
        <w:pStyle w:val="CORPOHOMERO"/>
      </w:pPr>
      <w:r w:rsidRPr="00BB3951">
        <w:t>Aqui é curial que se estabeleça um paralelo com o entendimento</w:t>
      </w:r>
      <w:r w:rsidRPr="18498DC6">
        <w:rPr>
          <w:rStyle w:val="Refdenotaderodap"/>
          <w:rFonts w:asciiTheme="minorHAnsi" w:hAnsiTheme="minorHAnsi" w:cstheme="minorBidi"/>
          <w:sz w:val="24"/>
          <w:szCs w:val="24"/>
        </w:rPr>
        <w:footnoteReference w:id="16"/>
      </w:r>
      <w:r w:rsidRPr="00BB3951">
        <w:t xml:space="preserve"> de que a revisão dos juros remuneratórios enseja o afastamento da mora. Se isso é uma decorrência da revisão dos juros, não há razão para se tolerar </w:t>
      </w:r>
      <w:r w:rsidR="00155A1B">
        <w:t>medidas constritivas</w:t>
      </w:r>
      <w:r w:rsidRPr="00BB3951">
        <w:t xml:space="preserve"> enquanto o débito está sendo discutido.</w:t>
      </w:r>
    </w:p>
    <w:p w14:paraId="7A3030AF" w14:textId="3F425A68" w:rsidR="001768D8" w:rsidRPr="00BB3951" w:rsidRDefault="001768D8" w:rsidP="001768D8">
      <w:pPr>
        <w:pStyle w:val="CORPOHOMERO"/>
      </w:pPr>
      <w:r w:rsidRPr="00BB3951">
        <w:t xml:space="preserve">Neste passo, é inquestionável que </w:t>
      </w:r>
      <w:r w:rsidRPr="00BB3951">
        <w:rPr>
          <w:b/>
          <w:bCs/>
          <w:u w:val="single"/>
        </w:rPr>
        <w:t>a não concessão da tutela cautelar causará irremediável prejuízo ao resultado útil do processo</w:t>
      </w:r>
      <w:r w:rsidRPr="00BB3951">
        <w:t xml:space="preserve">, já que com as medidas de cobrança pela instituição financeira a parte Demandante poderá chegar à situação de ter vencido esta ação revisional, porém ter seu nome jogado na lama com a negativação ou ainda ter a grave situação de ter </w:t>
      </w:r>
      <w:r w:rsidR="007C4095">
        <w:t>a constrição</w:t>
      </w:r>
      <w:r w:rsidRPr="00BB3951">
        <w:t>.</w:t>
      </w:r>
    </w:p>
    <w:p w14:paraId="1FA737B6" w14:textId="77777777" w:rsidR="001768D8" w:rsidRPr="00BB3951" w:rsidRDefault="001768D8" w:rsidP="001768D8">
      <w:pPr>
        <w:pStyle w:val="CORPOHOMERO"/>
      </w:pPr>
      <w:r w:rsidRPr="00BB3951">
        <w:t>Enfim, a parte Demandante também continuará pagando a parte incontroversa nos moldes contratados.</w:t>
      </w:r>
      <w:r w:rsidRPr="18498DC6">
        <w:rPr>
          <w:rStyle w:val="Refdenotaderodap"/>
          <w:rFonts w:asciiTheme="minorHAnsi" w:hAnsiTheme="minorHAnsi" w:cstheme="minorBidi"/>
          <w:sz w:val="24"/>
          <w:szCs w:val="24"/>
        </w:rPr>
        <w:footnoteReference w:id="17"/>
      </w:r>
    </w:p>
    <w:p w14:paraId="42F9698C" w14:textId="77777777" w:rsidR="001768D8" w:rsidRPr="00BB3951" w:rsidRDefault="001768D8" w:rsidP="001768D8">
      <w:pPr>
        <w:pStyle w:val="CORPOHOMERO"/>
      </w:pPr>
      <w:r w:rsidRPr="00BB3951">
        <w:t xml:space="preserve">Desse modo, merece também, ser concedida a </w:t>
      </w:r>
      <w:r w:rsidRPr="00BB3951">
        <w:rPr>
          <w:b/>
          <w:bCs/>
        </w:rPr>
        <w:t>tutela de urgência cautelar</w:t>
      </w:r>
      <w:r w:rsidRPr="00BB3951">
        <w:t xml:space="preserve"> no caso presente, para determinar que </w:t>
      </w:r>
      <w:r w:rsidRPr="00BB3951">
        <w:rPr>
          <w:u w:val="single"/>
        </w:rPr>
        <w:t>a parte ré se abstenha de realizar a inscrição do nome da autora nos cadastros de devedores</w:t>
      </w:r>
      <w:r w:rsidRPr="00BB3951">
        <w:t xml:space="preserve"> ou que </w:t>
      </w:r>
      <w:r w:rsidRPr="00BB3951">
        <w:rPr>
          <w:u w:val="single"/>
        </w:rPr>
        <w:t>realize a cobrança judicial do débito, incluindo a vedação de promover a busca e apreensão,</w:t>
      </w:r>
      <w:r w:rsidRPr="00BB3951">
        <w:t xml:space="preserve"> enquanto estiver pendente esta revisional.</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745CB3FA" w14:textId="5F3AB36C"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quanto às </w:t>
      </w:r>
      <w:r w:rsidRPr="18498DC6">
        <w:rPr>
          <w:rFonts w:asciiTheme="minorHAnsi" w:hAnsiTheme="minorHAnsi" w:cstheme="minorBidi"/>
          <w:sz w:val="20"/>
          <w:szCs w:val="20"/>
          <w:u w:val="single"/>
        </w:rPr>
        <w:t>prestações vincendas do contrato</w:t>
      </w:r>
      <w:r w:rsidRPr="18498DC6">
        <w:rPr>
          <w:rFonts w:asciiTheme="minorHAnsi" w:hAnsiTheme="minorHAnsi" w:cstheme="minorBidi"/>
          <w:sz w:val="20"/>
          <w:szCs w:val="20"/>
        </w:rPr>
        <w:t>, que</w:t>
      </w:r>
      <w:r w:rsidR="00F32534">
        <w:rPr>
          <w:rFonts w:asciiTheme="minorHAnsi" w:hAnsiTheme="minorHAnsi" w:cstheme="minorBidi"/>
          <w:sz w:val="20"/>
          <w:szCs w:val="20"/>
        </w:rPr>
        <w:t xml:space="preserve"> a Demandada</w:t>
      </w:r>
      <w:r w:rsidRPr="18498DC6">
        <w:rPr>
          <w:rFonts w:asciiTheme="minorHAnsi" w:hAnsiTheme="minorHAnsi" w:cstheme="minorBidi"/>
          <w:sz w:val="20"/>
          <w:szCs w:val="20"/>
        </w:rPr>
        <w:t xml:space="preserve"> </w:t>
      </w:r>
      <w:r w:rsidR="00AE1806">
        <w:rPr>
          <w:rFonts w:asciiTheme="minorHAnsi" w:hAnsiTheme="minorHAnsi" w:cstheme="minorBidi"/>
          <w:sz w:val="20"/>
          <w:szCs w:val="20"/>
        </w:rPr>
        <w:t xml:space="preserve">se limite a descontar da folha de pagamento </w:t>
      </w:r>
      <w:r w:rsidR="003F2ED0">
        <w:rPr>
          <w:rFonts w:asciiTheme="minorHAnsi" w:hAnsiTheme="minorHAnsi" w:cstheme="minorBidi"/>
          <w:sz w:val="20"/>
          <w:szCs w:val="20"/>
        </w:rPr>
        <w:t>o valor incontroverso da prestação, no</w:t>
      </w:r>
      <w:r w:rsidRPr="18498DC6">
        <w:rPr>
          <w:rFonts w:asciiTheme="minorHAnsi" w:hAnsiTheme="minorHAnsi" w:cstheme="minorBidi"/>
          <w:sz w:val="20"/>
          <w:szCs w:val="20"/>
        </w:rPr>
        <w:t xml:space="preserve"> valor mensal de R$ xxxx;</w:t>
      </w:r>
    </w:p>
    <w:p w14:paraId="237172B6"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na hipótese de não cumprimento do item anterior, seja autorizado ao Demandante a realização da consignação judicial dos pagamentos das prestações vincendas;</w:t>
      </w:r>
    </w:p>
    <w:p w14:paraId="524A7161" w14:textId="1600B3C2"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 </w:t>
      </w:r>
      <w:r w:rsidRPr="18498DC6">
        <w:rPr>
          <w:rFonts w:asciiTheme="minorHAnsi" w:hAnsiTheme="minorHAnsi" w:cstheme="minorBidi"/>
          <w:sz w:val="20"/>
          <w:szCs w:val="20"/>
          <w:u w:val="single"/>
        </w:rPr>
        <w:t>abstenha de realizar a inscrição do nome</w:t>
      </w:r>
      <w:r w:rsidRPr="18498DC6">
        <w:rPr>
          <w:rFonts w:asciiTheme="minorHAnsi" w:hAnsiTheme="minorHAnsi" w:cstheme="minorBidi"/>
          <w:sz w:val="20"/>
          <w:szCs w:val="20"/>
        </w:rPr>
        <w:t xml:space="preserve"> da parte Demandante nos cadastros de devedores ou de realizar a cobrança judicial do débito enquanto pendente esta revisional, inclusive vedando a promoção de medida </w:t>
      </w:r>
      <w:r w:rsidR="003F2ED0">
        <w:rPr>
          <w:rFonts w:asciiTheme="minorHAnsi" w:hAnsiTheme="minorHAnsi" w:cstheme="minorBidi"/>
          <w:sz w:val="20"/>
          <w:szCs w:val="20"/>
        </w:rPr>
        <w:t>de constrição patrimonial</w:t>
      </w:r>
      <w:r w:rsidRPr="18498DC6">
        <w:rPr>
          <w:rFonts w:asciiTheme="minorHAnsi" w:hAnsiTheme="minorHAnsi" w:cstheme="minorBidi"/>
          <w:sz w:val="20"/>
          <w:szCs w:val="20"/>
        </w:rPr>
        <w:t>;</w:t>
      </w:r>
    </w:p>
    <w:p w14:paraId="0CEC7819"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CB3014F" w14:textId="358D932B"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 xml:space="preserve"> </w:t>
      </w:r>
      <w:r w:rsidRPr="18498DC6">
        <w:rPr>
          <w:rFonts w:asciiTheme="minorHAnsi" w:hAnsiTheme="minorHAnsi" w:cstheme="minorBidi"/>
          <w:u w:val="single"/>
        </w:rPr>
        <w:t>a inversão do ônus da prova</w:t>
      </w:r>
      <w:r w:rsidRPr="18498DC6">
        <w:rPr>
          <w:rFonts w:asciiTheme="minorHAnsi" w:hAnsiTheme="minorHAnsi" w:cstheme="minorBidi"/>
        </w:rPr>
        <w:t xml:space="preserve"> em favor da autora, transferindo-se para a requerida o ônus probatório integral sobre os fatos debatidos nesta demanda, especialmente quais dos custos operacionais da contratação dos empréstimos, os riscos bancários e todos os demais elementos vinculados ao “spread”. Além disso, para o fim o de apresentar provas de que houve a efetiva prestação dos serviços de registro do contrato e avaliação do bem, como assim que houve plena liberdade de escolha na contratação do seguro;</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FAD1FF9" w14:textId="77777777" w:rsidR="00735949" w:rsidRDefault="18498DC6" w:rsidP="00735949">
      <w:pPr>
        <w:pStyle w:val="PargrafodaLista"/>
        <w:numPr>
          <w:ilvl w:val="0"/>
          <w:numId w:val="9"/>
        </w:numPr>
        <w:spacing w:after="0"/>
        <w:ind w:left="2552"/>
        <w:jc w:val="both"/>
        <w:rPr>
          <w:rFonts w:asciiTheme="minorHAnsi" w:hAnsiTheme="minorHAnsi" w:cstheme="minorBidi"/>
          <w:sz w:val="20"/>
          <w:szCs w:val="20"/>
        </w:rPr>
      </w:pPr>
      <w:commentRangeStart w:id="1"/>
      <w:r w:rsidRPr="00F32534">
        <w:rPr>
          <w:rFonts w:asciiTheme="minorHAnsi" w:hAnsiTheme="minorHAnsi" w:cstheme="minorBidi"/>
          <w:b/>
          <w:bCs/>
          <w:sz w:val="20"/>
          <w:szCs w:val="20"/>
        </w:rPr>
        <w:t xml:space="preserve">Declarar </w:t>
      </w:r>
      <w:r w:rsidRPr="00F32534">
        <w:rPr>
          <w:rFonts w:asciiTheme="minorHAnsi" w:hAnsiTheme="minorHAnsi" w:cstheme="minorBidi"/>
          <w:sz w:val="20"/>
          <w:szCs w:val="20"/>
        </w:rPr>
        <w:t>a abusividade da</w:t>
      </w:r>
      <w:r w:rsidRPr="00F32534">
        <w:rPr>
          <w:rFonts w:asciiTheme="minorHAnsi" w:hAnsiTheme="minorHAnsi" w:cstheme="minorBidi"/>
          <w:b/>
          <w:bCs/>
          <w:sz w:val="20"/>
          <w:szCs w:val="20"/>
        </w:rPr>
        <w:t xml:space="preserve"> </w:t>
      </w:r>
      <w:r w:rsidRPr="00F32534">
        <w:rPr>
          <w:rFonts w:asciiTheme="minorHAnsi" w:hAnsiTheme="minorHAnsi" w:cstheme="minorBidi"/>
          <w:sz w:val="20"/>
          <w:szCs w:val="20"/>
        </w:rPr>
        <w:t>cláusula E.4 (juros remuneratórios), substituindo-se as taxas de juros remuneratórios (</w:t>
      </w:r>
      <w:r w:rsidRPr="00F32534">
        <w:rPr>
          <w:rFonts w:asciiTheme="minorHAnsi" w:hAnsiTheme="minorHAnsi" w:cstheme="minorBidi"/>
          <w:sz w:val="20"/>
          <w:szCs w:val="20"/>
          <w:u w:val="single"/>
        </w:rPr>
        <w:t>da normalidade e da mora</w:t>
      </w:r>
      <w:r w:rsidRPr="00F32534">
        <w:rPr>
          <w:rFonts w:asciiTheme="minorHAnsi" w:hAnsiTheme="minorHAnsi" w:cstheme="minorBidi"/>
          <w:sz w:val="20"/>
          <w:szCs w:val="20"/>
        </w:rPr>
        <w:t>) do contrato pela taxa média de mercado, quais sejam:</w:t>
      </w:r>
      <w:r w:rsidRPr="00F32534">
        <w:rPr>
          <w:sz w:val="20"/>
          <w:szCs w:val="20"/>
        </w:rPr>
        <w:t xml:space="preserve"> </w:t>
      </w:r>
      <w:r w:rsidRPr="00F32534">
        <w:rPr>
          <w:rFonts w:asciiTheme="minorHAnsi" w:hAnsiTheme="minorHAnsi" w:cstheme="minorBidi"/>
          <w:sz w:val="20"/>
          <w:szCs w:val="20"/>
        </w:rPr>
        <w:t>XX,XX% ao mês e XX,XX% ao ano;</w:t>
      </w:r>
      <w:commentRangeEnd w:id="1"/>
      <w:r w:rsidR="003F2ED0">
        <w:rPr>
          <w:rStyle w:val="Refdecomentrio"/>
        </w:rPr>
        <w:commentReference w:id="1"/>
      </w:r>
    </w:p>
    <w:p w14:paraId="5A00D8FB" w14:textId="493AEF3C" w:rsidR="00735949" w:rsidRPr="00735949" w:rsidRDefault="00735949" w:rsidP="00735949">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Subsidiariamente, </w:t>
      </w:r>
      <w:r w:rsidR="00053251">
        <w:rPr>
          <w:rFonts w:asciiTheme="minorHAnsi" w:hAnsiTheme="minorHAnsi" w:cstheme="minorBidi"/>
          <w:b/>
          <w:bCs/>
          <w:sz w:val="20"/>
          <w:szCs w:val="20"/>
        </w:rPr>
        <w:t>d</w:t>
      </w:r>
      <w:r w:rsidRPr="00735949">
        <w:rPr>
          <w:rFonts w:asciiTheme="minorHAnsi" w:hAnsiTheme="minorHAnsi" w:cstheme="minorBidi"/>
          <w:b/>
          <w:bCs/>
          <w:sz w:val="20"/>
          <w:szCs w:val="20"/>
        </w:rPr>
        <w:t>eclarar</w:t>
      </w:r>
      <w:r w:rsidRPr="00735949">
        <w:rPr>
          <w:rFonts w:asciiTheme="minorHAnsi" w:hAnsiTheme="minorHAnsi" w:cstheme="minorBidi"/>
          <w:sz w:val="20"/>
          <w:szCs w:val="20"/>
        </w:rPr>
        <w:t xml:space="preserve"> a abusividade da cláusula E.4 (juros remuneratórios), substituindo-se as taxas de juros remuneratórios (da normalidade e da mora) do contrato</w:t>
      </w:r>
      <w:r w:rsidR="00806F8F">
        <w:rPr>
          <w:rFonts w:asciiTheme="minorHAnsi" w:hAnsiTheme="minorHAnsi" w:cstheme="minorBidi"/>
          <w:sz w:val="20"/>
          <w:szCs w:val="20"/>
        </w:rPr>
        <w:t xml:space="preserve"> pelo</w:t>
      </w:r>
      <w:r w:rsidRPr="00735949">
        <w:rPr>
          <w:rFonts w:asciiTheme="minorHAnsi" w:hAnsiTheme="minorHAnsi" w:cstheme="minorBidi"/>
          <w:sz w:val="20"/>
          <w:szCs w:val="20"/>
        </w:rPr>
        <w:t xml:space="preserve"> </w:t>
      </w:r>
      <w:r w:rsidR="00C53F9A">
        <w:rPr>
          <w:rFonts w:asciiTheme="minorHAnsi" w:hAnsiTheme="minorHAnsi" w:cstheme="minorBidi"/>
          <w:sz w:val="20"/>
          <w:szCs w:val="20"/>
        </w:rPr>
        <w:t>limite fixad</w:t>
      </w:r>
      <w:r w:rsidR="00806F8F">
        <w:rPr>
          <w:rFonts w:asciiTheme="minorHAnsi" w:hAnsiTheme="minorHAnsi" w:cstheme="minorBidi"/>
          <w:sz w:val="20"/>
          <w:szCs w:val="20"/>
        </w:rPr>
        <w:t>o</w:t>
      </w:r>
      <w:r w:rsidR="00C53F9A">
        <w:rPr>
          <w:rFonts w:asciiTheme="minorHAnsi" w:hAnsiTheme="minorHAnsi" w:cstheme="minorBidi"/>
          <w:sz w:val="20"/>
          <w:szCs w:val="20"/>
        </w:rPr>
        <w:t xml:space="preserve"> pelo INSS</w:t>
      </w:r>
      <w:r w:rsidRPr="00735949">
        <w:rPr>
          <w:rFonts w:asciiTheme="minorHAnsi" w:hAnsiTheme="minorHAnsi" w:cstheme="minorBidi"/>
          <w:sz w:val="20"/>
          <w:szCs w:val="20"/>
        </w:rPr>
        <w:t>, quais sejam: XX,XX% ao mês e XX,XX% ao ano;</w:t>
      </w:r>
    </w:p>
    <w:p w14:paraId="6BA8ECE5" w14:textId="02B466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da prestação mensal, para o pagamento pontual, é de R$ 480,66 (POR EXTENSO), determinando-se que a Demandada se abstenha de realizar a cobrança de valores excedentes, salvo em caso de mora sobre este novo valor;</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806F8F">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43F9F2E"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794C6C">
        <w:rPr>
          <w:rFonts w:asciiTheme="minorHAnsi" w:hAnsiTheme="minorHAnsi" w:cstheme="minorHAnsi"/>
          <w:noProof/>
          <w:sz w:val="24"/>
          <w:szCs w:val="24"/>
        </w:rPr>
        <w:t>12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p w14:paraId="257EE82D" w14:textId="7777777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06 – boletos bancários quitados.</w:t>
      </w:r>
    </w:p>
    <w:p w14:paraId="0F77F64E" w14:textId="77777777" w:rsidR="0084021C" w:rsidRDefault="0084021C" w:rsidP="00545BA3">
      <w:pPr>
        <w:pStyle w:val="Corpodetexto3"/>
        <w:spacing w:after="0" w:line="360" w:lineRule="auto"/>
        <w:jc w:val="both"/>
        <w:rPr>
          <w:rFonts w:asciiTheme="minorHAnsi" w:hAnsiTheme="minorHAnsi" w:cstheme="minorHAnsi"/>
          <w:sz w:val="22"/>
          <w:szCs w:val="26"/>
        </w:rPr>
      </w:pPr>
    </w:p>
    <w:p w14:paraId="3D368DD6" w14:textId="77777777" w:rsidR="0084021C" w:rsidRPr="0084021C" w:rsidRDefault="0084021C" w:rsidP="0084021C">
      <w:pPr>
        <w:pStyle w:val="Corpodetexto3"/>
        <w:spacing w:after="0" w:line="360" w:lineRule="auto"/>
        <w:jc w:val="both"/>
        <w:rPr>
          <w:rFonts w:asciiTheme="minorHAnsi" w:hAnsiTheme="minorHAnsi" w:cstheme="minorHAnsi"/>
          <w:sz w:val="22"/>
          <w:szCs w:val="26"/>
        </w:rPr>
      </w:pPr>
    </w:p>
    <w:sectPr w:rsidR="0084021C" w:rsidRPr="0084021C" w:rsidSect="0052536F">
      <w:headerReference w:type="default" r:id="rId16"/>
      <w:footerReference w:type="default" r:id="rId17"/>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omero Medeiros" w:date="2022-04-12T01:03:00Z" w:initials="HM">
    <w:p w14:paraId="7C4FBAA7" w14:textId="19B88817" w:rsidR="003F2ED0" w:rsidRDefault="003F2ED0">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FB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4E55" w16cex:dateUtc="2022-04-12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FBAA7" w16cid:durableId="25FF4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9ACD" w14:textId="77777777" w:rsidR="00A17476" w:rsidRDefault="00A17476">
      <w:r>
        <w:separator/>
      </w:r>
    </w:p>
  </w:endnote>
  <w:endnote w:type="continuationSeparator" w:id="0">
    <w:p w14:paraId="14E3E0BE" w14:textId="77777777" w:rsidR="00A17476" w:rsidRDefault="00A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FD06" w14:textId="77777777" w:rsidR="00A17476" w:rsidRDefault="00A17476">
      <w:r>
        <w:separator/>
      </w:r>
    </w:p>
  </w:footnote>
  <w:footnote w:type="continuationSeparator" w:id="0">
    <w:p w14:paraId="66948474" w14:textId="77777777" w:rsidR="00A17476" w:rsidRDefault="00A17476">
      <w:r>
        <w:continuationSeparator/>
      </w:r>
    </w:p>
  </w:footnote>
  <w:footnote w:id="1">
    <w:p w14:paraId="211D5D1A" w14:textId="77777777" w:rsidR="001E1766" w:rsidRPr="00276834" w:rsidRDefault="001E1766"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Conforme procuração anexa.</w:t>
      </w:r>
    </w:p>
  </w:footnote>
  <w:footnote w:id="2">
    <w:p w14:paraId="1E938044" w14:textId="77777777" w:rsidR="00FA27AB" w:rsidRPr="00276834" w:rsidRDefault="00FA27AB"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3AB3CCAA" w14:textId="77777777" w:rsidR="00085B04" w:rsidRPr="00276834" w:rsidRDefault="00085B04"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11529647 – [...] I - Julgamento das questões idênticas que caracterizam a multiplicidade. </w:t>
      </w:r>
      <w:r w:rsidRPr="00276834">
        <w:rPr>
          <w:rFonts w:asciiTheme="minorHAnsi" w:hAnsiTheme="minorHAnsi" w:cstheme="minorHAnsi"/>
          <w:b/>
          <w:bCs/>
          <w:sz w:val="18"/>
          <w:szCs w:val="18"/>
          <w:u w:val="single"/>
        </w:rPr>
        <w:t>Orientação 1</w:t>
      </w:r>
      <w:r w:rsidRPr="00276834">
        <w:rPr>
          <w:rFonts w:asciiTheme="minorHAnsi" w:hAnsiTheme="minorHAnsi" w:cstheme="minorHAnsi"/>
          <w:sz w:val="18"/>
          <w:szCs w:val="18"/>
        </w:rPr>
        <w:t xml:space="preserve"> - Juros remuneratórios [...]; </w:t>
      </w:r>
      <w:r w:rsidRPr="00276834">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276834">
        <w:rPr>
          <w:rFonts w:asciiTheme="minorHAnsi" w:hAnsiTheme="minorHAnsi" w:cstheme="minorHAnsi"/>
          <w:sz w:val="18"/>
          <w:szCs w:val="18"/>
        </w:rPr>
        <w:t>. ... (</w:t>
      </w:r>
      <w:r w:rsidRPr="00276834">
        <w:rPr>
          <w:rFonts w:asciiTheme="minorHAnsi" w:hAnsiTheme="minorHAnsi" w:cstheme="minorHAnsi"/>
          <w:sz w:val="18"/>
          <w:szCs w:val="18"/>
          <w:u w:val="single"/>
        </w:rPr>
        <w:t>STJ; REsp 1.061.530</w:t>
      </w:r>
      <w:r w:rsidRPr="00276834">
        <w:rPr>
          <w:rFonts w:asciiTheme="minorHAnsi" w:hAnsiTheme="minorHAnsi" w:cstheme="minorHAnsi"/>
          <w:sz w:val="18"/>
          <w:szCs w:val="18"/>
        </w:rPr>
        <w:t>; Proc. 2008/0119992-4; RS; Segunda Seção; Relª Min. Fátima Nancy Andrighi; Julg. 22/10/2008; DJE 10/03/2009) g/n</w:t>
      </w:r>
    </w:p>
  </w:footnote>
  <w:footnote w:id="4">
    <w:p w14:paraId="09C61316" w14:textId="4CB11B94" w:rsidR="00276834" w:rsidRPr="00276834" w:rsidRDefault="00276834" w:rsidP="00276834">
      <w:pPr>
        <w:pStyle w:val="Textodenotaderodap"/>
        <w:spacing w:line="240" w:lineRule="auto"/>
        <w:jc w:val="both"/>
        <w:rPr>
          <w:sz w:val="18"/>
          <w:szCs w:val="18"/>
        </w:rPr>
      </w:pPr>
      <w:r w:rsidRPr="00276834">
        <w:rPr>
          <w:rStyle w:val="Refdenotaderodap"/>
          <w:sz w:val="18"/>
          <w:szCs w:val="18"/>
        </w:rPr>
        <w:footnoteRef/>
      </w:r>
      <w:r w:rsidRPr="00276834">
        <w:rPr>
          <w:sz w:val="18"/>
          <w:szCs w:val="18"/>
        </w:rPr>
        <w:t xml:space="preserve"> Por exemplo, cita-se o recente precedente: 99312866 - APELAÇÃO CIVIL. Ação revisional. Decisão que julgou parcialmente procedente a ação, determinando a limitação dos juros remuneratórios à taxa média de mercado- irresignação do banco para serem mantidos os juros pactuados. Empréstimo consignado para servidor público. Taxa de juros contratada em percentuais que excedem, em grande monta, os índices previstos pelo BACEN na data da contratação. Configuração da abusividade quando comparados ao percentual divulgado pelo Banco Central do Brasil. Contrato com variação superior à 20% da taxa média de mercado. Recurso conhecido e improvido. (TJSE; AC 202100727279; Ac. 9369/2022; Primeira Câmara Cível; Rel. Des. Ruy Pinheiro da Silva; DJSE 12/04/2022)</w:t>
      </w:r>
    </w:p>
  </w:footnote>
  <w:footnote w:id="5">
    <w:p w14:paraId="1EBF737F" w14:textId="77777777" w:rsidR="00085B04" w:rsidRPr="00276834" w:rsidRDefault="00085B04"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Disponível em: </w:t>
      </w:r>
      <w:hyperlink r:id="rId1" w:history="1">
        <w:r w:rsidRPr="00276834">
          <w:rPr>
            <w:rStyle w:val="Hyperlink"/>
            <w:rFonts w:asciiTheme="minorHAnsi" w:hAnsiTheme="minorHAnsi" w:cstheme="minorHAnsi"/>
            <w:sz w:val="18"/>
            <w:szCs w:val="18"/>
          </w:rPr>
          <w:t>https://www3.bcb.gov.br/sgspub/localizarseries/localizarSeries.do?method=prepararTelaLocalizarSeries</w:t>
        </w:r>
      </w:hyperlink>
      <w:r w:rsidRPr="00276834">
        <w:rPr>
          <w:rFonts w:asciiTheme="minorHAnsi" w:hAnsiTheme="minorHAnsi" w:cstheme="minorHAnsi"/>
          <w:sz w:val="18"/>
          <w:szCs w:val="18"/>
        </w:rPr>
        <w:t>. Acesso em XX/XX/XXXX.</w:t>
      </w:r>
    </w:p>
  </w:footnote>
  <w:footnote w:id="6">
    <w:p w14:paraId="31BE8B88" w14:textId="77777777" w:rsidR="00085B04" w:rsidRPr="00276834" w:rsidRDefault="00085B04"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Este valor é alcançado por meio da seguinte regra de três: </w:t>
      </w:r>
    </w:p>
    <w:p w14:paraId="75FBA350" w14:textId="77777777" w:rsidR="00085B04" w:rsidRPr="00276834" w:rsidRDefault="00085B04" w:rsidP="00276834">
      <w:pPr>
        <w:pStyle w:val="Textodenotaderodap"/>
        <w:spacing w:after="0" w:line="240" w:lineRule="auto"/>
        <w:jc w:val="both"/>
        <w:rPr>
          <w:rFonts w:asciiTheme="minorHAnsi" w:hAnsiTheme="minorHAnsi" w:cstheme="minorHAnsi"/>
          <w:sz w:val="18"/>
          <w:szCs w:val="18"/>
        </w:rPr>
      </w:pPr>
      <w:r w:rsidRPr="00276834">
        <w:rPr>
          <w:rFonts w:asciiTheme="minorHAnsi" w:hAnsiTheme="minorHAnsi" w:cstheme="minorHAnsi"/>
          <w:sz w:val="18"/>
          <w:szCs w:val="18"/>
        </w:rPr>
        <w:t xml:space="preserve">              TAXA MÉDIA ----- 100                      X = TC X 100 ÷ TM          </w:t>
      </w:r>
    </w:p>
    <w:p w14:paraId="51B53C22" w14:textId="77777777" w:rsidR="00085B04" w:rsidRPr="00276834" w:rsidRDefault="00085B04" w:rsidP="00276834">
      <w:pPr>
        <w:pStyle w:val="Textodenotaderodap"/>
        <w:spacing w:after="0" w:line="240" w:lineRule="auto"/>
        <w:jc w:val="both"/>
        <w:rPr>
          <w:rFonts w:asciiTheme="minorHAnsi" w:hAnsiTheme="minorHAnsi" w:cstheme="minorHAnsi"/>
          <w:sz w:val="18"/>
          <w:szCs w:val="18"/>
        </w:rPr>
      </w:pPr>
      <w:r w:rsidRPr="00276834">
        <w:rPr>
          <w:rFonts w:asciiTheme="minorHAnsi" w:hAnsiTheme="minorHAnsi" w:cstheme="minorHAnsi"/>
          <w:sz w:val="18"/>
          <w:szCs w:val="18"/>
        </w:rPr>
        <w:t xml:space="preserve">TAXA CONTRATUAL -------- X                                                     </w:t>
      </w:r>
    </w:p>
    <w:p w14:paraId="30D0B8CC" w14:textId="3FF3CEF7" w:rsidR="00085B04" w:rsidRPr="00276834" w:rsidRDefault="18498DC6" w:rsidP="00276834">
      <w:pPr>
        <w:pStyle w:val="Textodenotaderodap"/>
        <w:spacing w:after="0" w:line="240" w:lineRule="auto"/>
        <w:jc w:val="both"/>
        <w:rPr>
          <w:rFonts w:asciiTheme="minorHAnsi" w:hAnsiTheme="minorHAnsi" w:cstheme="minorBidi"/>
          <w:sz w:val="18"/>
          <w:szCs w:val="18"/>
        </w:rPr>
      </w:pPr>
      <w:r w:rsidRPr="00276834">
        <w:rPr>
          <w:rFonts w:asciiTheme="minorHAnsi" w:hAnsiTheme="minorHAnsi" w:cstheme="minorBidi"/>
          <w:sz w:val="18"/>
          <w:szCs w:val="18"/>
        </w:rPr>
        <w:t xml:space="preserve">Para transformar o resultado em valor percentual: resultado -100 = XXX %, que é a diferença entre as taxas. No caso em estudo: </w:t>
      </w:r>
      <w:r w:rsidR="00E711F7">
        <w:rPr>
          <w:rFonts w:asciiTheme="minorHAnsi" w:hAnsiTheme="minorHAnsi" w:cstheme="minorBidi"/>
          <w:sz w:val="18"/>
          <w:szCs w:val="18"/>
        </w:rPr>
        <w:t>2,34</w:t>
      </w:r>
      <w:r w:rsidRPr="00276834">
        <w:rPr>
          <w:rFonts w:asciiTheme="minorHAnsi" w:hAnsiTheme="minorHAnsi" w:cstheme="minorBidi"/>
          <w:sz w:val="18"/>
          <w:szCs w:val="18"/>
        </w:rPr>
        <w:t xml:space="preserve"> X 100 / </w:t>
      </w:r>
      <w:r w:rsidR="00E711F7">
        <w:rPr>
          <w:rFonts w:asciiTheme="minorHAnsi" w:hAnsiTheme="minorHAnsi" w:cstheme="minorBidi"/>
          <w:sz w:val="18"/>
          <w:szCs w:val="18"/>
        </w:rPr>
        <w:t>2,12</w:t>
      </w:r>
      <w:r w:rsidRPr="00276834">
        <w:rPr>
          <w:rFonts w:asciiTheme="minorHAnsi" w:hAnsiTheme="minorHAnsi" w:cstheme="minorBidi"/>
          <w:sz w:val="18"/>
          <w:szCs w:val="18"/>
        </w:rPr>
        <w:t xml:space="preserve"> = 1</w:t>
      </w:r>
      <w:r w:rsidR="00E711F7">
        <w:rPr>
          <w:rFonts w:asciiTheme="minorHAnsi" w:hAnsiTheme="minorHAnsi" w:cstheme="minorBidi"/>
          <w:sz w:val="18"/>
          <w:szCs w:val="18"/>
        </w:rPr>
        <w:t>10,37</w:t>
      </w:r>
      <w:r w:rsidRPr="00276834">
        <w:rPr>
          <w:rFonts w:asciiTheme="minorHAnsi" w:hAnsiTheme="minorHAnsi" w:cstheme="minorBidi"/>
          <w:sz w:val="18"/>
          <w:szCs w:val="18"/>
        </w:rPr>
        <w:t xml:space="preserve"> – 100 = </w:t>
      </w:r>
      <w:r w:rsidR="00E711F7">
        <w:rPr>
          <w:rFonts w:asciiTheme="minorHAnsi" w:hAnsiTheme="minorHAnsi" w:cstheme="minorBidi"/>
          <w:sz w:val="18"/>
          <w:szCs w:val="18"/>
        </w:rPr>
        <w:t>10</w:t>
      </w:r>
      <w:r w:rsidRPr="00276834">
        <w:rPr>
          <w:rFonts w:asciiTheme="minorHAnsi" w:hAnsiTheme="minorHAnsi" w:cstheme="minorBidi"/>
          <w:sz w:val="18"/>
          <w:szCs w:val="18"/>
        </w:rPr>
        <w:t>,</w:t>
      </w:r>
      <w:r w:rsidR="00E711F7">
        <w:rPr>
          <w:rFonts w:asciiTheme="minorHAnsi" w:hAnsiTheme="minorHAnsi" w:cstheme="minorBidi"/>
          <w:sz w:val="18"/>
          <w:szCs w:val="18"/>
        </w:rPr>
        <w:t>37</w:t>
      </w:r>
      <w:r w:rsidRPr="00276834">
        <w:rPr>
          <w:rFonts w:asciiTheme="minorHAnsi" w:hAnsiTheme="minorHAnsi" w:cstheme="minorBidi"/>
          <w:sz w:val="18"/>
          <w:szCs w:val="18"/>
        </w:rPr>
        <w:t>%.</w:t>
      </w:r>
    </w:p>
  </w:footnote>
  <w:footnote w:id="7">
    <w:p w14:paraId="524E38C9" w14:textId="77777777" w:rsidR="00085B04" w:rsidRPr="00276834" w:rsidRDefault="00085B04" w:rsidP="00276834">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REsp 1.061.530/RS, Rel. Min. NANCY ANDRIGHI, 2ª Seção, DJe, 10.3.2009.</w:t>
      </w:r>
    </w:p>
  </w:footnote>
  <w:footnote w:id="8">
    <w:p w14:paraId="1DE54639" w14:textId="77777777" w:rsidR="00085B04" w:rsidRPr="00276834" w:rsidRDefault="00085B04" w:rsidP="00276834">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AgInt no AREsp 1591428/RS, Rel. Ministro MARCO AURÉLIO BELLIZZE, TERCEIRA TURMA, julgado em 30/03/2020, DJe 06/04/2020</w:t>
      </w:r>
    </w:p>
  </w:footnote>
  <w:footnote w:id="9">
    <w:p w14:paraId="7FC3ABF4" w14:textId="77777777" w:rsidR="00085B04" w:rsidRPr="00276834" w:rsidRDefault="00085B04" w:rsidP="00276834">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10">
    <w:p w14:paraId="6330E883" w14:textId="04359B9D" w:rsidR="00E94FF5" w:rsidRPr="00276834" w:rsidRDefault="00E94FF5" w:rsidP="00276834">
      <w:pPr>
        <w:pStyle w:val="Textodenotaderodap"/>
        <w:spacing w:line="240" w:lineRule="auto"/>
        <w:jc w:val="both"/>
        <w:rPr>
          <w:sz w:val="18"/>
          <w:szCs w:val="18"/>
        </w:rPr>
      </w:pPr>
      <w:r w:rsidRPr="00276834">
        <w:rPr>
          <w:rStyle w:val="Refdenotaderodap"/>
          <w:sz w:val="18"/>
          <w:szCs w:val="18"/>
        </w:rPr>
        <w:footnoteRef/>
      </w:r>
      <w:r w:rsidRPr="00276834">
        <w:rPr>
          <w:sz w:val="18"/>
          <w:szCs w:val="18"/>
        </w:rPr>
        <w:t xml:space="preserve"> Disponível em: </w:t>
      </w:r>
      <w:hyperlink r:id="rId2" w:history="1">
        <w:r w:rsidRPr="00276834">
          <w:rPr>
            <w:rStyle w:val="Hyperlink"/>
            <w:sz w:val="18"/>
            <w:szCs w:val="18"/>
          </w:rPr>
          <w:t>http://www.normaslegais.com.br/legislacao/credito-consignado-limite-taxas.htm</w:t>
        </w:r>
      </w:hyperlink>
      <w:r w:rsidRPr="00276834">
        <w:rPr>
          <w:sz w:val="18"/>
          <w:szCs w:val="18"/>
        </w:rPr>
        <w:t>. Acesso 11/04/2022</w:t>
      </w:r>
    </w:p>
  </w:footnote>
  <w:footnote w:id="11">
    <w:p w14:paraId="5B66F3E3" w14:textId="77777777" w:rsidR="00EA555D" w:rsidRPr="00276834" w:rsidRDefault="00EA555D" w:rsidP="00276834">
      <w:pPr>
        <w:pStyle w:val="Textodenotaderodap"/>
        <w:spacing w:line="240" w:lineRule="auto"/>
        <w:jc w:val="both"/>
        <w:rPr>
          <w:sz w:val="18"/>
          <w:szCs w:val="18"/>
        </w:rPr>
      </w:pPr>
      <w:r w:rsidRPr="00276834">
        <w:rPr>
          <w:rStyle w:val="Refdenotaderodap"/>
          <w:sz w:val="18"/>
          <w:szCs w:val="18"/>
        </w:rPr>
        <w:footnoteRef/>
      </w:r>
      <w:r w:rsidRPr="00276834">
        <w:rPr>
          <w:sz w:val="18"/>
          <w:szCs w:val="18"/>
        </w:rPr>
        <w:t xml:space="preserve"> Em igual sentido: </w:t>
      </w:r>
    </w:p>
    <w:p w14:paraId="2B821B4C" w14:textId="17A73A70" w:rsidR="00EA555D" w:rsidRPr="00276834" w:rsidRDefault="00EA555D" w:rsidP="00276834">
      <w:pPr>
        <w:pStyle w:val="Textodenotaderodap"/>
        <w:spacing w:line="240" w:lineRule="auto"/>
        <w:jc w:val="both"/>
        <w:rPr>
          <w:sz w:val="18"/>
          <w:szCs w:val="18"/>
        </w:rPr>
      </w:pPr>
      <w:r w:rsidRPr="00276834">
        <w:rPr>
          <w:sz w:val="18"/>
          <w:szCs w:val="18"/>
        </w:rPr>
        <w:t>6500269641 - CÉDULA DE CRÉDITO BANCÁRIO. EMPRÉSTIMO CONSIGNADO. EMPRÉSTIMOS CONTRAÍDOS EM BENEFÍCIO PREVIDENCIÁRIO. Taxa de juros remuneratórios que deve expressar o custo efetivo total. Juros remuneratórios fixados nas três cédulas de crédito bancário em 2,29% e 2,34% ao mês, porém, o custo efetivo total foi estipulado em 2,39%, 2,45% e 2,46% ao mês. Contrariedade ao art. 13, II, da Instrução Normativa INSS/PRES nº 28/2008, com a redação dada pela Portaria INSS nº 1.016/2015. Precedentes do TJSP. Saldo devedor que deve ser recalculado, com a consequente restituição dos valores pagos a mais pela autora, de forma singela, ou o seu abatimento caso a dívida ainda não tenha sido quitada. Sentença reformada nesse ponto. Decretada a procedência parcial da ação. Apelo da autora provido em parte. (TJSP; AC 1032499-19.2020.8.26.0196; Ac. 15538342; Franca; Vigésima Terceira Câmara de Direito Privado; Rel. Des. José Marcos Marrone; Julg. 31/03/2022; DJESP 05/04/2022; Pág. 2322)</w:t>
      </w:r>
    </w:p>
  </w:footnote>
  <w:footnote w:id="12">
    <w:p w14:paraId="0CBA9F2D" w14:textId="77777777" w:rsidR="002771FE" w:rsidRPr="00276834" w:rsidRDefault="002771FE" w:rsidP="00276834">
      <w:pPr>
        <w:tabs>
          <w:tab w:val="left" w:pos="2160"/>
        </w:tabs>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276834">
        <w:rPr>
          <w:rFonts w:asciiTheme="minorHAnsi" w:hAnsiTheme="minorHAnsi" w:cstheme="minorHAnsi"/>
          <w:b/>
          <w:bCs/>
          <w:sz w:val="18"/>
          <w:szCs w:val="18"/>
        </w:rPr>
        <w:t>CONFIGURAÇÃO DA MORA</w:t>
      </w:r>
      <w:r w:rsidRPr="00276834">
        <w:rPr>
          <w:rFonts w:asciiTheme="minorHAnsi" w:hAnsiTheme="minorHAnsi" w:cstheme="minorHAnsi"/>
          <w:sz w:val="18"/>
          <w:szCs w:val="18"/>
        </w:rPr>
        <w:t xml:space="preserve"> a) O reconhecimento da </w:t>
      </w:r>
      <w:r w:rsidRPr="00276834">
        <w:rPr>
          <w:rFonts w:asciiTheme="minorHAnsi" w:hAnsiTheme="minorHAnsi" w:cstheme="minorHAnsi"/>
          <w:sz w:val="18"/>
          <w:szCs w:val="18"/>
          <w:u w:val="single"/>
        </w:rPr>
        <w:t>abusividade nos encargos exigidos no período da normalidade</w:t>
      </w:r>
      <w:r w:rsidRPr="00276834">
        <w:rPr>
          <w:rFonts w:asciiTheme="minorHAnsi" w:hAnsiTheme="minorHAnsi" w:cstheme="minorHAnsi"/>
          <w:sz w:val="18"/>
          <w:szCs w:val="18"/>
        </w:rPr>
        <w:t xml:space="preserve"> contratual (juros remuneratórios e capitalização) </w:t>
      </w:r>
      <w:r w:rsidRPr="00276834">
        <w:rPr>
          <w:rFonts w:asciiTheme="minorHAnsi" w:hAnsiTheme="minorHAnsi" w:cstheme="minorHAnsi"/>
          <w:b/>
          <w:bCs/>
          <w:sz w:val="18"/>
          <w:szCs w:val="18"/>
        </w:rPr>
        <w:t>descaracteriza a mora</w:t>
      </w:r>
      <w:r w:rsidRPr="00276834">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276834" w:rsidRDefault="002771FE" w:rsidP="00276834">
      <w:pPr>
        <w:pStyle w:val="Textodenotaderodap"/>
        <w:spacing w:after="0" w:line="240" w:lineRule="auto"/>
        <w:jc w:val="both"/>
        <w:rPr>
          <w:rFonts w:asciiTheme="minorHAnsi" w:hAnsiTheme="minorHAnsi" w:cstheme="minorHAnsi"/>
          <w:sz w:val="18"/>
          <w:szCs w:val="18"/>
        </w:rPr>
      </w:pPr>
    </w:p>
  </w:footnote>
  <w:footnote w:id="13">
    <w:p w14:paraId="6BB680CE" w14:textId="2739E79F" w:rsidR="00D23AF5" w:rsidRPr="00276834" w:rsidRDefault="00D23AF5"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ST</w:t>
      </w:r>
      <w:r w:rsidR="003C6866" w:rsidRPr="00276834">
        <w:rPr>
          <w:rFonts w:asciiTheme="minorHAnsi" w:hAnsiTheme="minorHAnsi" w:cstheme="minorHAnsi"/>
          <w:sz w:val="18"/>
          <w:szCs w:val="18"/>
        </w:rPr>
        <w:t>J</w:t>
      </w:r>
      <w:r w:rsidRPr="00276834">
        <w:rPr>
          <w:rFonts w:asciiTheme="minorHAnsi" w:hAnsiTheme="minorHAnsi" w:cstheme="minorHAnsi"/>
          <w:sz w:val="18"/>
          <w:szCs w:val="18"/>
        </w:rPr>
        <w:t xml:space="preserve"> [...]13. </w:t>
      </w:r>
      <w:r w:rsidRPr="00276834">
        <w:rPr>
          <w:rFonts w:asciiTheme="minorHAnsi" w:hAnsiTheme="minorHAnsi" w:cstheme="minorHAnsi"/>
          <w:b/>
          <w:bCs/>
          <w:sz w:val="18"/>
          <w:szCs w:val="18"/>
        </w:rPr>
        <w:t>Fixação das seguintes teses</w:t>
      </w:r>
      <w:r w:rsidRPr="00276834">
        <w:rPr>
          <w:rFonts w:asciiTheme="minorHAnsi" w:hAnsiTheme="minorHAnsi" w:cstheme="minorHAnsi"/>
          <w:sz w:val="18"/>
          <w:szCs w:val="18"/>
        </w:rPr>
        <w:t xml:space="preserve">. Primeira tese: A </w:t>
      </w:r>
      <w:r w:rsidRPr="00276834">
        <w:rPr>
          <w:rFonts w:asciiTheme="minorHAnsi" w:hAnsiTheme="minorHAnsi" w:cstheme="minorHAnsi"/>
          <w:sz w:val="18"/>
          <w:szCs w:val="18"/>
          <w:u w:val="single"/>
        </w:rPr>
        <w:t>restituição em dobro do indébito</w:t>
      </w:r>
      <w:r w:rsidRPr="00276834">
        <w:rPr>
          <w:rFonts w:asciiTheme="minorHAnsi" w:hAnsiTheme="minorHAnsi" w:cstheme="minorHAnsi"/>
          <w:sz w:val="18"/>
          <w:szCs w:val="18"/>
        </w:rPr>
        <w:t xml:space="preserve"> (parágrafo único do artigo 42 do CDC) </w:t>
      </w:r>
      <w:r w:rsidRPr="00276834">
        <w:rPr>
          <w:rFonts w:asciiTheme="minorHAnsi" w:hAnsiTheme="minorHAnsi" w:cstheme="minorHAnsi"/>
          <w:sz w:val="18"/>
          <w:szCs w:val="18"/>
          <w:u w:val="single"/>
        </w:rPr>
        <w:t>independe da natureza do elemento volitivo do fornecedor</w:t>
      </w:r>
      <w:r w:rsidRPr="00276834">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4">
    <w:p w14:paraId="7EF33666" w14:textId="201B649A" w:rsidR="00014E9D" w:rsidRPr="00276834" w:rsidRDefault="00014E9D"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276834">
        <w:rPr>
          <w:rFonts w:asciiTheme="minorHAnsi" w:hAnsiTheme="minorHAnsi" w:cstheme="minorHAnsi"/>
          <w:sz w:val="18"/>
          <w:szCs w:val="18"/>
        </w:rPr>
        <w:t xml:space="preserve">Seção, </w:t>
      </w:r>
      <w:r w:rsidR="00D86795" w:rsidRPr="00276834">
        <w:rPr>
          <w:rFonts w:asciiTheme="minorHAnsi" w:hAnsiTheme="minorHAnsi" w:cstheme="minorHAnsi"/>
          <w:sz w:val="18"/>
          <w:szCs w:val="18"/>
        </w:rPr>
        <w:t>DJe 21.6.2012</w:t>
      </w:r>
      <w:r w:rsidRPr="00276834">
        <w:rPr>
          <w:rFonts w:asciiTheme="minorHAnsi" w:hAnsiTheme="minorHAnsi" w:cstheme="minorHAnsi"/>
          <w:sz w:val="18"/>
          <w:szCs w:val="18"/>
        </w:rPr>
        <w:t>). ... (REsp 1806813/SP, Rel. Ministro HERMAN BENJAMIN, SEGUNDA TURMA, julgado em 15/08/2019, DJe 10/09/2019)</w:t>
      </w:r>
    </w:p>
  </w:footnote>
  <w:footnote w:id="15">
    <w:p w14:paraId="72DCC317" w14:textId="77777777" w:rsidR="00D26FF8" w:rsidRPr="00276834" w:rsidRDefault="00D26FF8" w:rsidP="00276834">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Foram aceitas a revisão dos juros:</w:t>
      </w:r>
    </w:p>
    <w:p w14:paraId="1A3548E3" w14:textId="5085F535" w:rsidR="00D26FF8" w:rsidRPr="00276834" w:rsidRDefault="00D26FF8" w:rsidP="00276834">
      <w:pPr>
        <w:pStyle w:val="Textodenotaderodap"/>
        <w:spacing w:after="0" w:line="240" w:lineRule="auto"/>
        <w:jc w:val="both"/>
        <w:rPr>
          <w:rFonts w:asciiTheme="minorHAnsi" w:hAnsiTheme="minorHAnsi" w:cstheme="minorHAnsi"/>
          <w:sz w:val="18"/>
          <w:szCs w:val="18"/>
        </w:rPr>
      </w:pPr>
      <w:r w:rsidRPr="00276834">
        <w:rPr>
          <w:rFonts w:asciiTheme="minorHAnsi" w:hAnsiTheme="minorHAnsi" w:cstheme="minorHAnsi"/>
          <w:sz w:val="18"/>
          <w:szCs w:val="18"/>
        </w:rPr>
        <w:t>De 34,89% aa para 31,68% aa – diferença de 10,13% (TJMS. Apelação Cível n. 0814324-22.2018.8.12.</w:t>
      </w:r>
      <w:r w:rsidR="00B96828" w:rsidRPr="00276834">
        <w:rPr>
          <w:rFonts w:asciiTheme="minorHAnsi" w:hAnsiTheme="minorHAnsi" w:cstheme="minorHAnsi"/>
          <w:sz w:val="18"/>
          <w:szCs w:val="18"/>
        </w:rPr>
        <w:t>0001, Campo</w:t>
      </w:r>
      <w:r w:rsidRPr="00276834">
        <w:rPr>
          <w:rFonts w:asciiTheme="minorHAnsi" w:hAnsiTheme="minorHAnsi" w:cstheme="minorHAnsi"/>
          <w:sz w:val="18"/>
          <w:szCs w:val="18"/>
        </w:rPr>
        <w:t xml:space="preserve"> </w:t>
      </w:r>
      <w:r w:rsidR="00D86795" w:rsidRPr="00276834">
        <w:rPr>
          <w:rFonts w:asciiTheme="minorHAnsi" w:hAnsiTheme="minorHAnsi" w:cstheme="minorHAnsi"/>
          <w:sz w:val="18"/>
          <w:szCs w:val="18"/>
        </w:rPr>
        <w:t>Grande, 2</w:t>
      </w:r>
      <w:r w:rsidRPr="00276834">
        <w:rPr>
          <w:rFonts w:asciiTheme="minorHAnsi" w:hAnsiTheme="minorHAnsi" w:cstheme="minorHAnsi"/>
          <w:sz w:val="18"/>
          <w:szCs w:val="18"/>
        </w:rPr>
        <w:t>ª Câmara Cível, Relator (a):  Des. Marco André Nogueira Hanson, j: 19/01/2020, p:  20/01/2020)</w:t>
      </w:r>
    </w:p>
    <w:p w14:paraId="0939E5F0" w14:textId="74104C65" w:rsidR="00D26FF8" w:rsidRPr="00276834" w:rsidRDefault="00D26FF8" w:rsidP="00276834">
      <w:pPr>
        <w:pStyle w:val="Textodenotaderodap"/>
        <w:spacing w:after="0" w:line="240" w:lineRule="auto"/>
        <w:jc w:val="both"/>
        <w:rPr>
          <w:rFonts w:asciiTheme="minorHAnsi" w:hAnsiTheme="minorHAnsi" w:cstheme="minorHAnsi"/>
          <w:sz w:val="18"/>
          <w:szCs w:val="18"/>
        </w:rPr>
      </w:pPr>
      <w:r w:rsidRPr="00276834">
        <w:rPr>
          <w:rFonts w:asciiTheme="minorHAnsi" w:hAnsiTheme="minorHAnsi" w:cstheme="minorHAnsi"/>
          <w:sz w:val="18"/>
          <w:szCs w:val="18"/>
        </w:rPr>
        <w:t>de 27,46% aa para 24,25% aa – diferença de 13,23% (TJMS. Apelação Cível n. 0800620-88.2018.8.12.</w:t>
      </w:r>
      <w:r w:rsidR="00B96828" w:rsidRPr="00276834">
        <w:rPr>
          <w:rFonts w:asciiTheme="minorHAnsi" w:hAnsiTheme="minorHAnsi" w:cstheme="minorHAnsi"/>
          <w:sz w:val="18"/>
          <w:szCs w:val="18"/>
        </w:rPr>
        <w:t>0017, Nova</w:t>
      </w:r>
      <w:r w:rsidRPr="00276834">
        <w:rPr>
          <w:rFonts w:asciiTheme="minorHAnsi" w:hAnsiTheme="minorHAnsi" w:cstheme="minorHAnsi"/>
          <w:sz w:val="18"/>
          <w:szCs w:val="18"/>
        </w:rPr>
        <w:t xml:space="preserve"> </w:t>
      </w:r>
      <w:r w:rsidR="00D86795" w:rsidRPr="00276834">
        <w:rPr>
          <w:rFonts w:asciiTheme="minorHAnsi" w:hAnsiTheme="minorHAnsi" w:cstheme="minorHAnsi"/>
          <w:sz w:val="18"/>
          <w:szCs w:val="18"/>
        </w:rPr>
        <w:t>Andradina, 2</w:t>
      </w:r>
      <w:r w:rsidRPr="00276834">
        <w:rPr>
          <w:rFonts w:asciiTheme="minorHAnsi" w:hAnsiTheme="minorHAnsi" w:cstheme="minorHAnsi"/>
          <w:sz w:val="18"/>
          <w:szCs w:val="18"/>
        </w:rPr>
        <w:t>ª Câmara Cível, Relator (a):  Des. Marco André Nogueira Hanson, j: 14/11/2019, p:  18/11/2019);</w:t>
      </w:r>
    </w:p>
    <w:p w14:paraId="0D36E7E1" w14:textId="7AE2F0F9" w:rsidR="00D26FF8" w:rsidRPr="00276834" w:rsidRDefault="00D26FF8" w:rsidP="00276834">
      <w:pPr>
        <w:pStyle w:val="Textodenotaderodap"/>
        <w:spacing w:after="0" w:line="240" w:lineRule="auto"/>
        <w:jc w:val="both"/>
        <w:rPr>
          <w:rFonts w:asciiTheme="minorHAnsi" w:hAnsiTheme="minorHAnsi" w:cstheme="minorHAnsi"/>
          <w:sz w:val="18"/>
          <w:szCs w:val="18"/>
        </w:rPr>
      </w:pPr>
      <w:r w:rsidRPr="00276834">
        <w:rPr>
          <w:rFonts w:asciiTheme="minorHAnsi" w:hAnsiTheme="minorHAnsi" w:cstheme="minorHAnsi"/>
          <w:sz w:val="18"/>
          <w:szCs w:val="18"/>
        </w:rPr>
        <w:t>de 2,08% am para 1,89% am – diferença de 10,05% (TJMS. Apelação Cível n. 0800819-79.2019.8.12.</w:t>
      </w:r>
      <w:r w:rsidR="00B96828" w:rsidRPr="00276834">
        <w:rPr>
          <w:rFonts w:asciiTheme="minorHAnsi" w:hAnsiTheme="minorHAnsi" w:cstheme="minorHAnsi"/>
          <w:sz w:val="18"/>
          <w:szCs w:val="18"/>
        </w:rPr>
        <w:t>0016, Mundo</w:t>
      </w:r>
      <w:r w:rsidRPr="00276834">
        <w:rPr>
          <w:rFonts w:asciiTheme="minorHAnsi" w:hAnsiTheme="minorHAnsi" w:cstheme="minorHAnsi"/>
          <w:sz w:val="18"/>
          <w:szCs w:val="18"/>
        </w:rPr>
        <w:t xml:space="preserve"> </w:t>
      </w:r>
      <w:r w:rsidR="00D86795" w:rsidRPr="00276834">
        <w:rPr>
          <w:rFonts w:asciiTheme="minorHAnsi" w:hAnsiTheme="minorHAnsi" w:cstheme="minorHAnsi"/>
          <w:sz w:val="18"/>
          <w:szCs w:val="18"/>
        </w:rPr>
        <w:t>Novo, 2</w:t>
      </w:r>
      <w:r w:rsidRPr="00276834">
        <w:rPr>
          <w:rFonts w:asciiTheme="minorHAnsi" w:hAnsiTheme="minorHAnsi" w:cstheme="minorHAnsi"/>
          <w:sz w:val="18"/>
          <w:szCs w:val="18"/>
        </w:rPr>
        <w:t>ª Câmara Cível, Relator (a):  Des. Marco André Nogueira Hanson, j: 18/10/2019, p:  22/10/2019)</w:t>
      </w:r>
    </w:p>
    <w:p w14:paraId="0E6A655A" w14:textId="090DE35A" w:rsidR="00D26FF8" w:rsidRPr="00276834" w:rsidRDefault="00D26FF8" w:rsidP="00276834">
      <w:pPr>
        <w:pStyle w:val="Textodenotaderodap"/>
        <w:spacing w:after="0" w:line="240" w:lineRule="auto"/>
        <w:jc w:val="both"/>
        <w:rPr>
          <w:rFonts w:asciiTheme="minorHAnsi" w:hAnsiTheme="minorHAnsi" w:cstheme="minorHAnsi"/>
          <w:sz w:val="18"/>
          <w:szCs w:val="18"/>
        </w:rPr>
      </w:pPr>
      <w:r w:rsidRPr="00276834">
        <w:rPr>
          <w:rFonts w:asciiTheme="minorHAnsi" w:hAnsiTheme="minorHAnsi" w:cstheme="minorHAnsi"/>
          <w:sz w:val="18"/>
          <w:szCs w:val="18"/>
        </w:rPr>
        <w:t>de 8,11% am para 7,64% am – diferença de 6,15% (TJMS. Apelação Cível n. 0827072-23.2017.8.12.</w:t>
      </w:r>
      <w:r w:rsidR="00B96828" w:rsidRPr="00276834">
        <w:rPr>
          <w:rFonts w:asciiTheme="minorHAnsi" w:hAnsiTheme="minorHAnsi" w:cstheme="minorHAnsi"/>
          <w:sz w:val="18"/>
          <w:szCs w:val="18"/>
        </w:rPr>
        <w:t>0001, Campo</w:t>
      </w:r>
      <w:r w:rsidRPr="00276834">
        <w:rPr>
          <w:rFonts w:asciiTheme="minorHAnsi" w:hAnsiTheme="minorHAnsi" w:cstheme="minorHAnsi"/>
          <w:sz w:val="18"/>
          <w:szCs w:val="18"/>
        </w:rPr>
        <w:t xml:space="preserve"> </w:t>
      </w:r>
      <w:r w:rsidR="00D86795" w:rsidRPr="00276834">
        <w:rPr>
          <w:rFonts w:asciiTheme="minorHAnsi" w:hAnsiTheme="minorHAnsi" w:cstheme="minorHAnsi"/>
          <w:sz w:val="18"/>
          <w:szCs w:val="18"/>
        </w:rPr>
        <w:t>Grande, 2</w:t>
      </w:r>
      <w:r w:rsidRPr="00276834">
        <w:rPr>
          <w:rFonts w:asciiTheme="minorHAnsi" w:hAnsiTheme="minorHAnsi" w:cstheme="minorHAnsi"/>
          <w:sz w:val="18"/>
          <w:szCs w:val="18"/>
        </w:rPr>
        <w:t>ª Câmara Cível, Relator (a):  Des. Marco André Nogueira Hanson, j: 23/07/2019, p:  25/07/2019);</w:t>
      </w:r>
    </w:p>
  </w:footnote>
  <w:footnote w:id="16">
    <w:p w14:paraId="755306E2" w14:textId="77777777" w:rsidR="001768D8" w:rsidRPr="00276834" w:rsidRDefault="001768D8" w:rsidP="00276834">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REsp 1061530/RS, Rel. Ministra NANCY ANDRIGHI, SEGUNDA SEÇÃO, julgado em 22/10/2008, DJe 10/03/2009</w:t>
      </w:r>
    </w:p>
  </w:footnote>
  <w:footnote w:id="17">
    <w:p w14:paraId="0D3C02F1" w14:textId="77777777" w:rsidR="001768D8" w:rsidRPr="00276834" w:rsidRDefault="001768D8" w:rsidP="00276834">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ORIENTAÇÃO 4 - INSCRIÇÃO/MANUTENÇÃO EM CADASTRO DE INADIMPLENTES a) A abstenção da inscrição/manutenção em cadastro de inadimplentes, requerida em antecipação de tutela e/ou medida cautelar, somente será deferida se, cumulativamente: i) a ação for fundada em questionamento integral ou parcial do débito; ii) houver demonstração de que a cobrança indevida se funda na aparência do bom direito e em jurisprudência consolidada do STF ou STJ; iii) houver depósito da parcela incontroversa ou for prestada a caução fixada conforme o prudente arbítrio do juiz; b) A inscrição/manutenção do nome do devedor em cadastro de inadimplentes decidida na sentença ou no acórdão observará o que for decidido no mérito do processo. [...] (REsp 1061530/RS, Rel. Ministra NANCY ANDRIGHI, SEGUNDA SEÇÃO, julgado em 22/10/2008, DJe 10/03/2009)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305A"/>
    <w:rsid w:val="00014090"/>
    <w:rsid w:val="00014E9D"/>
    <w:rsid w:val="00014EC0"/>
    <w:rsid w:val="00014F50"/>
    <w:rsid w:val="00017FAC"/>
    <w:rsid w:val="00020335"/>
    <w:rsid w:val="0002140F"/>
    <w:rsid w:val="0002298F"/>
    <w:rsid w:val="000234D1"/>
    <w:rsid w:val="000259CD"/>
    <w:rsid w:val="00025FA4"/>
    <w:rsid w:val="00030A05"/>
    <w:rsid w:val="00030EF1"/>
    <w:rsid w:val="00032440"/>
    <w:rsid w:val="00032D7C"/>
    <w:rsid w:val="00033AFB"/>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3251"/>
    <w:rsid w:val="00054659"/>
    <w:rsid w:val="00054967"/>
    <w:rsid w:val="00054A6B"/>
    <w:rsid w:val="00057581"/>
    <w:rsid w:val="000601A6"/>
    <w:rsid w:val="000604EC"/>
    <w:rsid w:val="00060645"/>
    <w:rsid w:val="00060E09"/>
    <w:rsid w:val="00060F54"/>
    <w:rsid w:val="000614B1"/>
    <w:rsid w:val="0006182B"/>
    <w:rsid w:val="00062612"/>
    <w:rsid w:val="000629BB"/>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A44"/>
    <w:rsid w:val="00090AAC"/>
    <w:rsid w:val="00090DBB"/>
    <w:rsid w:val="00091F1E"/>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7F5"/>
    <w:rsid w:val="000F189D"/>
    <w:rsid w:val="000F2B03"/>
    <w:rsid w:val="000F3D81"/>
    <w:rsid w:val="000F5A50"/>
    <w:rsid w:val="000F6F45"/>
    <w:rsid w:val="00100EA9"/>
    <w:rsid w:val="00101801"/>
    <w:rsid w:val="00101E94"/>
    <w:rsid w:val="0010203C"/>
    <w:rsid w:val="00102199"/>
    <w:rsid w:val="00102FB8"/>
    <w:rsid w:val="00103000"/>
    <w:rsid w:val="00103F48"/>
    <w:rsid w:val="00105867"/>
    <w:rsid w:val="0010616C"/>
    <w:rsid w:val="001067A2"/>
    <w:rsid w:val="00106BD7"/>
    <w:rsid w:val="00106F2A"/>
    <w:rsid w:val="00107154"/>
    <w:rsid w:val="00110335"/>
    <w:rsid w:val="0011209D"/>
    <w:rsid w:val="00112DDD"/>
    <w:rsid w:val="001132D9"/>
    <w:rsid w:val="00113615"/>
    <w:rsid w:val="0011437A"/>
    <w:rsid w:val="00116505"/>
    <w:rsid w:val="001179D5"/>
    <w:rsid w:val="00122253"/>
    <w:rsid w:val="0012236E"/>
    <w:rsid w:val="0012449C"/>
    <w:rsid w:val="00124CCD"/>
    <w:rsid w:val="00125ADA"/>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F74"/>
    <w:rsid w:val="001500DC"/>
    <w:rsid w:val="00150663"/>
    <w:rsid w:val="00151DFA"/>
    <w:rsid w:val="00153163"/>
    <w:rsid w:val="00153CC5"/>
    <w:rsid w:val="00153D8B"/>
    <w:rsid w:val="00154E0A"/>
    <w:rsid w:val="00155355"/>
    <w:rsid w:val="00155A1B"/>
    <w:rsid w:val="00155EE8"/>
    <w:rsid w:val="00156C8F"/>
    <w:rsid w:val="00156CFB"/>
    <w:rsid w:val="001575CB"/>
    <w:rsid w:val="001607F6"/>
    <w:rsid w:val="00160934"/>
    <w:rsid w:val="00160E60"/>
    <w:rsid w:val="00162C82"/>
    <w:rsid w:val="00162CB8"/>
    <w:rsid w:val="00163EB9"/>
    <w:rsid w:val="00164607"/>
    <w:rsid w:val="001668F4"/>
    <w:rsid w:val="00167199"/>
    <w:rsid w:val="001704EC"/>
    <w:rsid w:val="00170677"/>
    <w:rsid w:val="001707C7"/>
    <w:rsid w:val="001735DF"/>
    <w:rsid w:val="001737E8"/>
    <w:rsid w:val="00174411"/>
    <w:rsid w:val="001768D8"/>
    <w:rsid w:val="001776E4"/>
    <w:rsid w:val="00177FB6"/>
    <w:rsid w:val="00180628"/>
    <w:rsid w:val="00181481"/>
    <w:rsid w:val="00183CCA"/>
    <w:rsid w:val="001846A7"/>
    <w:rsid w:val="00185810"/>
    <w:rsid w:val="001859F0"/>
    <w:rsid w:val="00185B2C"/>
    <w:rsid w:val="00186142"/>
    <w:rsid w:val="001869E4"/>
    <w:rsid w:val="00190BDE"/>
    <w:rsid w:val="00190F97"/>
    <w:rsid w:val="00191798"/>
    <w:rsid w:val="00194574"/>
    <w:rsid w:val="00195A82"/>
    <w:rsid w:val="001A1169"/>
    <w:rsid w:val="001A1329"/>
    <w:rsid w:val="001A18BC"/>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9D4"/>
    <w:rsid w:val="001C371E"/>
    <w:rsid w:val="001C4B7E"/>
    <w:rsid w:val="001C6347"/>
    <w:rsid w:val="001C6C5C"/>
    <w:rsid w:val="001C7D38"/>
    <w:rsid w:val="001D0308"/>
    <w:rsid w:val="001D1C03"/>
    <w:rsid w:val="001D1F95"/>
    <w:rsid w:val="001D1F98"/>
    <w:rsid w:val="001D3210"/>
    <w:rsid w:val="001D3B12"/>
    <w:rsid w:val="001D3B2B"/>
    <w:rsid w:val="001D56D4"/>
    <w:rsid w:val="001D601B"/>
    <w:rsid w:val="001D6131"/>
    <w:rsid w:val="001D672A"/>
    <w:rsid w:val="001D687F"/>
    <w:rsid w:val="001E12E7"/>
    <w:rsid w:val="001E160E"/>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3A2"/>
    <w:rsid w:val="0023367C"/>
    <w:rsid w:val="00233AAE"/>
    <w:rsid w:val="002345B5"/>
    <w:rsid w:val="00234615"/>
    <w:rsid w:val="0023495F"/>
    <w:rsid w:val="00235084"/>
    <w:rsid w:val="00235718"/>
    <w:rsid w:val="00235DFB"/>
    <w:rsid w:val="00236976"/>
    <w:rsid w:val="00237548"/>
    <w:rsid w:val="0023795B"/>
    <w:rsid w:val="00237E32"/>
    <w:rsid w:val="002403A9"/>
    <w:rsid w:val="00240494"/>
    <w:rsid w:val="00242273"/>
    <w:rsid w:val="002424F3"/>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674B"/>
    <w:rsid w:val="0026678E"/>
    <w:rsid w:val="00266C9C"/>
    <w:rsid w:val="00267015"/>
    <w:rsid w:val="00267584"/>
    <w:rsid w:val="00267EE9"/>
    <w:rsid w:val="0027095C"/>
    <w:rsid w:val="00271510"/>
    <w:rsid w:val="002719F2"/>
    <w:rsid w:val="00271F05"/>
    <w:rsid w:val="00272370"/>
    <w:rsid w:val="0027389A"/>
    <w:rsid w:val="00275F0E"/>
    <w:rsid w:val="00276459"/>
    <w:rsid w:val="00276834"/>
    <w:rsid w:val="00276F89"/>
    <w:rsid w:val="002771FE"/>
    <w:rsid w:val="002777A2"/>
    <w:rsid w:val="00277904"/>
    <w:rsid w:val="00281BDE"/>
    <w:rsid w:val="00281E1D"/>
    <w:rsid w:val="00281F28"/>
    <w:rsid w:val="00281F6F"/>
    <w:rsid w:val="00282692"/>
    <w:rsid w:val="0028386F"/>
    <w:rsid w:val="00283B85"/>
    <w:rsid w:val="002849C9"/>
    <w:rsid w:val="00287254"/>
    <w:rsid w:val="002872AD"/>
    <w:rsid w:val="0029096A"/>
    <w:rsid w:val="00293275"/>
    <w:rsid w:val="00293A9E"/>
    <w:rsid w:val="0029429E"/>
    <w:rsid w:val="0029442C"/>
    <w:rsid w:val="00296DBC"/>
    <w:rsid w:val="002A0396"/>
    <w:rsid w:val="002A29B4"/>
    <w:rsid w:val="002A537E"/>
    <w:rsid w:val="002A72B9"/>
    <w:rsid w:val="002B02E6"/>
    <w:rsid w:val="002B0640"/>
    <w:rsid w:val="002B159A"/>
    <w:rsid w:val="002B17CA"/>
    <w:rsid w:val="002B1E20"/>
    <w:rsid w:val="002B3300"/>
    <w:rsid w:val="002B3308"/>
    <w:rsid w:val="002B3B6B"/>
    <w:rsid w:val="002B4FAA"/>
    <w:rsid w:val="002B524E"/>
    <w:rsid w:val="002B54B6"/>
    <w:rsid w:val="002B7525"/>
    <w:rsid w:val="002C0827"/>
    <w:rsid w:val="002C2C55"/>
    <w:rsid w:val="002C4C1B"/>
    <w:rsid w:val="002C50B4"/>
    <w:rsid w:val="002C7ECE"/>
    <w:rsid w:val="002D10BB"/>
    <w:rsid w:val="002D1A2F"/>
    <w:rsid w:val="002D1A4E"/>
    <w:rsid w:val="002D2051"/>
    <w:rsid w:val="002D25E3"/>
    <w:rsid w:val="002D2917"/>
    <w:rsid w:val="002D3F49"/>
    <w:rsid w:val="002D4091"/>
    <w:rsid w:val="002D4AB5"/>
    <w:rsid w:val="002D57FC"/>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7A4"/>
    <w:rsid w:val="0031384B"/>
    <w:rsid w:val="00314091"/>
    <w:rsid w:val="003143DC"/>
    <w:rsid w:val="00315C58"/>
    <w:rsid w:val="00316DFF"/>
    <w:rsid w:val="00317B79"/>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4A8D"/>
    <w:rsid w:val="00355236"/>
    <w:rsid w:val="00355D9E"/>
    <w:rsid w:val="003562C9"/>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66C"/>
    <w:rsid w:val="00371A3F"/>
    <w:rsid w:val="00374ABF"/>
    <w:rsid w:val="00374B68"/>
    <w:rsid w:val="0037620C"/>
    <w:rsid w:val="003763BA"/>
    <w:rsid w:val="00377829"/>
    <w:rsid w:val="0037799C"/>
    <w:rsid w:val="00377CFB"/>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E5"/>
    <w:rsid w:val="003F2ED0"/>
    <w:rsid w:val="003F3C81"/>
    <w:rsid w:val="003F5E23"/>
    <w:rsid w:val="003F6983"/>
    <w:rsid w:val="003F7055"/>
    <w:rsid w:val="003F7732"/>
    <w:rsid w:val="0040161D"/>
    <w:rsid w:val="00404988"/>
    <w:rsid w:val="0040724E"/>
    <w:rsid w:val="004101B8"/>
    <w:rsid w:val="00410C4B"/>
    <w:rsid w:val="00411339"/>
    <w:rsid w:val="00412840"/>
    <w:rsid w:val="00414FD0"/>
    <w:rsid w:val="00416236"/>
    <w:rsid w:val="00416463"/>
    <w:rsid w:val="00416524"/>
    <w:rsid w:val="00416FF3"/>
    <w:rsid w:val="004204D4"/>
    <w:rsid w:val="00420A30"/>
    <w:rsid w:val="00426F55"/>
    <w:rsid w:val="00427D86"/>
    <w:rsid w:val="00430619"/>
    <w:rsid w:val="00430BBC"/>
    <w:rsid w:val="00430D40"/>
    <w:rsid w:val="0043182F"/>
    <w:rsid w:val="0043282D"/>
    <w:rsid w:val="00434BCA"/>
    <w:rsid w:val="00436B89"/>
    <w:rsid w:val="004376E8"/>
    <w:rsid w:val="00441223"/>
    <w:rsid w:val="00441779"/>
    <w:rsid w:val="00443679"/>
    <w:rsid w:val="00443BA8"/>
    <w:rsid w:val="0044541A"/>
    <w:rsid w:val="00445854"/>
    <w:rsid w:val="00446BCD"/>
    <w:rsid w:val="00446DF7"/>
    <w:rsid w:val="00447A2C"/>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B1D"/>
    <w:rsid w:val="00471782"/>
    <w:rsid w:val="00471C04"/>
    <w:rsid w:val="004727E4"/>
    <w:rsid w:val="004732D3"/>
    <w:rsid w:val="004759D0"/>
    <w:rsid w:val="00482093"/>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06DB"/>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0F"/>
    <w:rsid w:val="004B51F3"/>
    <w:rsid w:val="004B5A78"/>
    <w:rsid w:val="004C0557"/>
    <w:rsid w:val="004C094A"/>
    <w:rsid w:val="004C1EA6"/>
    <w:rsid w:val="004C3CAA"/>
    <w:rsid w:val="004C46B5"/>
    <w:rsid w:val="004C4E3A"/>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79D4"/>
    <w:rsid w:val="004E7A4F"/>
    <w:rsid w:val="004F0176"/>
    <w:rsid w:val="004F1B1F"/>
    <w:rsid w:val="004F3358"/>
    <w:rsid w:val="004F408D"/>
    <w:rsid w:val="004F53EE"/>
    <w:rsid w:val="004F5814"/>
    <w:rsid w:val="004F5D46"/>
    <w:rsid w:val="004F74E6"/>
    <w:rsid w:val="004F775C"/>
    <w:rsid w:val="0050027F"/>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97"/>
    <w:rsid w:val="0052536F"/>
    <w:rsid w:val="005258C6"/>
    <w:rsid w:val="00525A8B"/>
    <w:rsid w:val="00526BC3"/>
    <w:rsid w:val="00527585"/>
    <w:rsid w:val="00527B98"/>
    <w:rsid w:val="00530B7F"/>
    <w:rsid w:val="005325B4"/>
    <w:rsid w:val="005325E6"/>
    <w:rsid w:val="005330CB"/>
    <w:rsid w:val="005331A2"/>
    <w:rsid w:val="005338C9"/>
    <w:rsid w:val="00535312"/>
    <w:rsid w:val="005362A7"/>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608EF"/>
    <w:rsid w:val="00561849"/>
    <w:rsid w:val="00561A62"/>
    <w:rsid w:val="0056384D"/>
    <w:rsid w:val="00563BBB"/>
    <w:rsid w:val="00564C76"/>
    <w:rsid w:val="00564CB9"/>
    <w:rsid w:val="00564D5B"/>
    <w:rsid w:val="0056504F"/>
    <w:rsid w:val="005675E4"/>
    <w:rsid w:val="00567EC6"/>
    <w:rsid w:val="0057243E"/>
    <w:rsid w:val="005728C0"/>
    <w:rsid w:val="00573DAF"/>
    <w:rsid w:val="00576D1E"/>
    <w:rsid w:val="0057769B"/>
    <w:rsid w:val="00580969"/>
    <w:rsid w:val="00580A6C"/>
    <w:rsid w:val="00580E78"/>
    <w:rsid w:val="00582BB1"/>
    <w:rsid w:val="00583A6F"/>
    <w:rsid w:val="00584AAE"/>
    <w:rsid w:val="00585F44"/>
    <w:rsid w:val="00586721"/>
    <w:rsid w:val="00586893"/>
    <w:rsid w:val="00587010"/>
    <w:rsid w:val="005876AB"/>
    <w:rsid w:val="00590075"/>
    <w:rsid w:val="005917AC"/>
    <w:rsid w:val="00591887"/>
    <w:rsid w:val="00594746"/>
    <w:rsid w:val="00596886"/>
    <w:rsid w:val="00596E05"/>
    <w:rsid w:val="00597961"/>
    <w:rsid w:val="005A10EB"/>
    <w:rsid w:val="005A1AB0"/>
    <w:rsid w:val="005A1E50"/>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7595"/>
    <w:rsid w:val="005D7A2D"/>
    <w:rsid w:val="005E0291"/>
    <w:rsid w:val="005E1238"/>
    <w:rsid w:val="005E1CB9"/>
    <w:rsid w:val="005E2364"/>
    <w:rsid w:val="005E310C"/>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206E5"/>
    <w:rsid w:val="00620C40"/>
    <w:rsid w:val="00620FEC"/>
    <w:rsid w:val="0062107B"/>
    <w:rsid w:val="00621754"/>
    <w:rsid w:val="00622204"/>
    <w:rsid w:val="006222ED"/>
    <w:rsid w:val="0062241A"/>
    <w:rsid w:val="00625AB7"/>
    <w:rsid w:val="00625E90"/>
    <w:rsid w:val="00625F19"/>
    <w:rsid w:val="0062659E"/>
    <w:rsid w:val="00627818"/>
    <w:rsid w:val="00634978"/>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549F"/>
    <w:rsid w:val="006662C8"/>
    <w:rsid w:val="00666583"/>
    <w:rsid w:val="0066679F"/>
    <w:rsid w:val="00666CAC"/>
    <w:rsid w:val="00667944"/>
    <w:rsid w:val="00667A5A"/>
    <w:rsid w:val="00667E76"/>
    <w:rsid w:val="00670F84"/>
    <w:rsid w:val="00672D0B"/>
    <w:rsid w:val="00673200"/>
    <w:rsid w:val="006751CC"/>
    <w:rsid w:val="00675980"/>
    <w:rsid w:val="00676BB2"/>
    <w:rsid w:val="00677203"/>
    <w:rsid w:val="0067753E"/>
    <w:rsid w:val="00680087"/>
    <w:rsid w:val="00681017"/>
    <w:rsid w:val="0068177A"/>
    <w:rsid w:val="006818F1"/>
    <w:rsid w:val="00681BBC"/>
    <w:rsid w:val="0068308B"/>
    <w:rsid w:val="00685133"/>
    <w:rsid w:val="00685590"/>
    <w:rsid w:val="00686347"/>
    <w:rsid w:val="0068644A"/>
    <w:rsid w:val="0068649C"/>
    <w:rsid w:val="00691190"/>
    <w:rsid w:val="0069246C"/>
    <w:rsid w:val="0069598B"/>
    <w:rsid w:val="00696DFF"/>
    <w:rsid w:val="006A1B3D"/>
    <w:rsid w:val="006A21F6"/>
    <w:rsid w:val="006A32F4"/>
    <w:rsid w:val="006A33FD"/>
    <w:rsid w:val="006A3444"/>
    <w:rsid w:val="006A3AF1"/>
    <w:rsid w:val="006A42C6"/>
    <w:rsid w:val="006A47C5"/>
    <w:rsid w:val="006A4F07"/>
    <w:rsid w:val="006A6339"/>
    <w:rsid w:val="006A6820"/>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1BE2"/>
    <w:rsid w:val="006E3819"/>
    <w:rsid w:val="006E4900"/>
    <w:rsid w:val="006E5D74"/>
    <w:rsid w:val="006E659F"/>
    <w:rsid w:val="006E7152"/>
    <w:rsid w:val="006E7C70"/>
    <w:rsid w:val="006F0481"/>
    <w:rsid w:val="006F0815"/>
    <w:rsid w:val="006F0CE9"/>
    <w:rsid w:val="006F1716"/>
    <w:rsid w:val="006F2B60"/>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39EB"/>
    <w:rsid w:val="0073546B"/>
    <w:rsid w:val="00735949"/>
    <w:rsid w:val="00736FA2"/>
    <w:rsid w:val="00740F8C"/>
    <w:rsid w:val="0074107C"/>
    <w:rsid w:val="00741282"/>
    <w:rsid w:val="00743D9B"/>
    <w:rsid w:val="007441A4"/>
    <w:rsid w:val="0074585E"/>
    <w:rsid w:val="00747B6E"/>
    <w:rsid w:val="0075133E"/>
    <w:rsid w:val="00751E63"/>
    <w:rsid w:val="00752714"/>
    <w:rsid w:val="00753657"/>
    <w:rsid w:val="00754C86"/>
    <w:rsid w:val="00755164"/>
    <w:rsid w:val="007551C5"/>
    <w:rsid w:val="00755938"/>
    <w:rsid w:val="00760B16"/>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4C6C"/>
    <w:rsid w:val="0079538D"/>
    <w:rsid w:val="00796305"/>
    <w:rsid w:val="007965CB"/>
    <w:rsid w:val="00796939"/>
    <w:rsid w:val="0079718A"/>
    <w:rsid w:val="0079773B"/>
    <w:rsid w:val="0079775C"/>
    <w:rsid w:val="0079779C"/>
    <w:rsid w:val="007A08FD"/>
    <w:rsid w:val="007A1778"/>
    <w:rsid w:val="007A180F"/>
    <w:rsid w:val="007A1BC1"/>
    <w:rsid w:val="007A22FD"/>
    <w:rsid w:val="007A3171"/>
    <w:rsid w:val="007A3391"/>
    <w:rsid w:val="007A4C0B"/>
    <w:rsid w:val="007A4D24"/>
    <w:rsid w:val="007A52E1"/>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095"/>
    <w:rsid w:val="007C4481"/>
    <w:rsid w:val="007C6041"/>
    <w:rsid w:val="007C6170"/>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EB1"/>
    <w:rsid w:val="008067A9"/>
    <w:rsid w:val="00806B8B"/>
    <w:rsid w:val="00806F8F"/>
    <w:rsid w:val="0080707B"/>
    <w:rsid w:val="008079BF"/>
    <w:rsid w:val="00807E75"/>
    <w:rsid w:val="00810D5F"/>
    <w:rsid w:val="00810E79"/>
    <w:rsid w:val="00811489"/>
    <w:rsid w:val="008138BE"/>
    <w:rsid w:val="00814337"/>
    <w:rsid w:val="0081631F"/>
    <w:rsid w:val="0081663A"/>
    <w:rsid w:val="0082016A"/>
    <w:rsid w:val="008208B4"/>
    <w:rsid w:val="00820B89"/>
    <w:rsid w:val="0082137D"/>
    <w:rsid w:val="0082232B"/>
    <w:rsid w:val="00822964"/>
    <w:rsid w:val="008231E3"/>
    <w:rsid w:val="00823B35"/>
    <w:rsid w:val="008276E3"/>
    <w:rsid w:val="00827891"/>
    <w:rsid w:val="00827910"/>
    <w:rsid w:val="008339C2"/>
    <w:rsid w:val="0083486A"/>
    <w:rsid w:val="00836377"/>
    <w:rsid w:val="00837398"/>
    <w:rsid w:val="0084021C"/>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62D4"/>
    <w:rsid w:val="008677EA"/>
    <w:rsid w:val="00867A50"/>
    <w:rsid w:val="00872448"/>
    <w:rsid w:val="0087255B"/>
    <w:rsid w:val="00872FE2"/>
    <w:rsid w:val="008732EA"/>
    <w:rsid w:val="00873D50"/>
    <w:rsid w:val="008759F6"/>
    <w:rsid w:val="0087617E"/>
    <w:rsid w:val="00877548"/>
    <w:rsid w:val="008816D8"/>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0F53"/>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6C4"/>
    <w:rsid w:val="00911934"/>
    <w:rsid w:val="00912110"/>
    <w:rsid w:val="00913168"/>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38CF"/>
    <w:rsid w:val="00963CD9"/>
    <w:rsid w:val="00965807"/>
    <w:rsid w:val="00966A08"/>
    <w:rsid w:val="00967B01"/>
    <w:rsid w:val="00971FC5"/>
    <w:rsid w:val="00973569"/>
    <w:rsid w:val="00973FA5"/>
    <w:rsid w:val="009740CD"/>
    <w:rsid w:val="00974C68"/>
    <w:rsid w:val="00975CFD"/>
    <w:rsid w:val="00976001"/>
    <w:rsid w:val="009769B2"/>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5C44"/>
    <w:rsid w:val="00997BFD"/>
    <w:rsid w:val="009A0C60"/>
    <w:rsid w:val="009A165D"/>
    <w:rsid w:val="009A44B8"/>
    <w:rsid w:val="009A4500"/>
    <w:rsid w:val="009A4ED8"/>
    <w:rsid w:val="009A72C8"/>
    <w:rsid w:val="009B06CD"/>
    <w:rsid w:val="009B0E3C"/>
    <w:rsid w:val="009B23F9"/>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2922"/>
    <w:rsid w:val="009C473E"/>
    <w:rsid w:val="009C7AF8"/>
    <w:rsid w:val="009C7DAE"/>
    <w:rsid w:val="009D01E5"/>
    <w:rsid w:val="009D157B"/>
    <w:rsid w:val="009D1956"/>
    <w:rsid w:val="009D324D"/>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64B"/>
    <w:rsid w:val="009E3C7F"/>
    <w:rsid w:val="009E40EB"/>
    <w:rsid w:val="009E7E02"/>
    <w:rsid w:val="009F05E4"/>
    <w:rsid w:val="009F44F7"/>
    <w:rsid w:val="009F491C"/>
    <w:rsid w:val="009F4ED0"/>
    <w:rsid w:val="009F5303"/>
    <w:rsid w:val="009F59D9"/>
    <w:rsid w:val="009F6E61"/>
    <w:rsid w:val="009F75D5"/>
    <w:rsid w:val="009F7749"/>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F33"/>
    <w:rsid w:val="00A173AB"/>
    <w:rsid w:val="00A17476"/>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56E"/>
    <w:rsid w:val="00A36853"/>
    <w:rsid w:val="00A370E7"/>
    <w:rsid w:val="00A37308"/>
    <w:rsid w:val="00A37A97"/>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3542"/>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57F5"/>
    <w:rsid w:val="00AB6046"/>
    <w:rsid w:val="00AB7D81"/>
    <w:rsid w:val="00AC0213"/>
    <w:rsid w:val="00AC16C3"/>
    <w:rsid w:val="00AC25EC"/>
    <w:rsid w:val="00AC2C5D"/>
    <w:rsid w:val="00AC30A2"/>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1806"/>
    <w:rsid w:val="00AE3E60"/>
    <w:rsid w:val="00AE45C5"/>
    <w:rsid w:val="00AE4B46"/>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04AF"/>
    <w:rsid w:val="00B013F8"/>
    <w:rsid w:val="00B0175F"/>
    <w:rsid w:val="00B02E1E"/>
    <w:rsid w:val="00B03D30"/>
    <w:rsid w:val="00B047D4"/>
    <w:rsid w:val="00B04B42"/>
    <w:rsid w:val="00B04D2C"/>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514"/>
    <w:rsid w:val="00B20749"/>
    <w:rsid w:val="00B214A0"/>
    <w:rsid w:val="00B21F93"/>
    <w:rsid w:val="00B22124"/>
    <w:rsid w:val="00B22475"/>
    <w:rsid w:val="00B22B06"/>
    <w:rsid w:val="00B23975"/>
    <w:rsid w:val="00B23F08"/>
    <w:rsid w:val="00B24D94"/>
    <w:rsid w:val="00B256C8"/>
    <w:rsid w:val="00B25A8C"/>
    <w:rsid w:val="00B25DEA"/>
    <w:rsid w:val="00B31962"/>
    <w:rsid w:val="00B31C2F"/>
    <w:rsid w:val="00B32167"/>
    <w:rsid w:val="00B3260E"/>
    <w:rsid w:val="00B32697"/>
    <w:rsid w:val="00B34400"/>
    <w:rsid w:val="00B35269"/>
    <w:rsid w:val="00B35583"/>
    <w:rsid w:val="00B35BEF"/>
    <w:rsid w:val="00B364DC"/>
    <w:rsid w:val="00B3710E"/>
    <w:rsid w:val="00B373F4"/>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F8D"/>
    <w:rsid w:val="00B639CE"/>
    <w:rsid w:val="00B63CE5"/>
    <w:rsid w:val="00B643A7"/>
    <w:rsid w:val="00B67375"/>
    <w:rsid w:val="00B67D7A"/>
    <w:rsid w:val="00B7379E"/>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CE9"/>
    <w:rsid w:val="00B93E77"/>
    <w:rsid w:val="00B95546"/>
    <w:rsid w:val="00B95C5F"/>
    <w:rsid w:val="00B96828"/>
    <w:rsid w:val="00B969D3"/>
    <w:rsid w:val="00B979F3"/>
    <w:rsid w:val="00BA01C0"/>
    <w:rsid w:val="00BA176B"/>
    <w:rsid w:val="00BA2C48"/>
    <w:rsid w:val="00BA30CD"/>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05AF"/>
    <w:rsid w:val="00BF10CE"/>
    <w:rsid w:val="00BF1238"/>
    <w:rsid w:val="00BF171E"/>
    <w:rsid w:val="00BF68F8"/>
    <w:rsid w:val="00BF6B8D"/>
    <w:rsid w:val="00C004AB"/>
    <w:rsid w:val="00C0503B"/>
    <w:rsid w:val="00C06512"/>
    <w:rsid w:val="00C078DE"/>
    <w:rsid w:val="00C12873"/>
    <w:rsid w:val="00C165C2"/>
    <w:rsid w:val="00C2034A"/>
    <w:rsid w:val="00C21F2E"/>
    <w:rsid w:val="00C2207C"/>
    <w:rsid w:val="00C23304"/>
    <w:rsid w:val="00C25425"/>
    <w:rsid w:val="00C260E6"/>
    <w:rsid w:val="00C26A9B"/>
    <w:rsid w:val="00C26B4F"/>
    <w:rsid w:val="00C27409"/>
    <w:rsid w:val="00C27CE5"/>
    <w:rsid w:val="00C27F52"/>
    <w:rsid w:val="00C3038E"/>
    <w:rsid w:val="00C3112F"/>
    <w:rsid w:val="00C32565"/>
    <w:rsid w:val="00C3268F"/>
    <w:rsid w:val="00C32C0C"/>
    <w:rsid w:val="00C3318A"/>
    <w:rsid w:val="00C33E43"/>
    <w:rsid w:val="00C34030"/>
    <w:rsid w:val="00C34142"/>
    <w:rsid w:val="00C34834"/>
    <w:rsid w:val="00C35BCA"/>
    <w:rsid w:val="00C35DE7"/>
    <w:rsid w:val="00C36C57"/>
    <w:rsid w:val="00C4028C"/>
    <w:rsid w:val="00C415B7"/>
    <w:rsid w:val="00C419C8"/>
    <w:rsid w:val="00C42AB6"/>
    <w:rsid w:val="00C42EC5"/>
    <w:rsid w:val="00C43045"/>
    <w:rsid w:val="00C457E5"/>
    <w:rsid w:val="00C457FA"/>
    <w:rsid w:val="00C47E84"/>
    <w:rsid w:val="00C47FAB"/>
    <w:rsid w:val="00C5014C"/>
    <w:rsid w:val="00C50E7B"/>
    <w:rsid w:val="00C5287B"/>
    <w:rsid w:val="00C52DB2"/>
    <w:rsid w:val="00C53F9A"/>
    <w:rsid w:val="00C543D6"/>
    <w:rsid w:val="00C54DC0"/>
    <w:rsid w:val="00C57B41"/>
    <w:rsid w:val="00C602EA"/>
    <w:rsid w:val="00C619E3"/>
    <w:rsid w:val="00C62342"/>
    <w:rsid w:val="00C6315B"/>
    <w:rsid w:val="00C63D9F"/>
    <w:rsid w:val="00C649F4"/>
    <w:rsid w:val="00C66F7E"/>
    <w:rsid w:val="00C70F2B"/>
    <w:rsid w:val="00C72545"/>
    <w:rsid w:val="00C72E79"/>
    <w:rsid w:val="00C74C45"/>
    <w:rsid w:val="00C75F27"/>
    <w:rsid w:val="00C767B7"/>
    <w:rsid w:val="00C77854"/>
    <w:rsid w:val="00C77E4C"/>
    <w:rsid w:val="00C80C83"/>
    <w:rsid w:val="00C827F6"/>
    <w:rsid w:val="00C838A3"/>
    <w:rsid w:val="00C84C52"/>
    <w:rsid w:val="00C85FD0"/>
    <w:rsid w:val="00C86C37"/>
    <w:rsid w:val="00C86DEF"/>
    <w:rsid w:val="00C90639"/>
    <w:rsid w:val="00C909D7"/>
    <w:rsid w:val="00C912E7"/>
    <w:rsid w:val="00C91EF3"/>
    <w:rsid w:val="00C92C45"/>
    <w:rsid w:val="00C941E2"/>
    <w:rsid w:val="00CA101F"/>
    <w:rsid w:val="00CA1BB6"/>
    <w:rsid w:val="00CA1F90"/>
    <w:rsid w:val="00CA3C63"/>
    <w:rsid w:val="00CA5555"/>
    <w:rsid w:val="00CA583A"/>
    <w:rsid w:val="00CA5C8F"/>
    <w:rsid w:val="00CA5FC6"/>
    <w:rsid w:val="00CA6745"/>
    <w:rsid w:val="00CB33F8"/>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35C"/>
    <w:rsid w:val="00CD6D49"/>
    <w:rsid w:val="00CD7DC4"/>
    <w:rsid w:val="00CD7F2A"/>
    <w:rsid w:val="00CE0827"/>
    <w:rsid w:val="00CE1DF3"/>
    <w:rsid w:val="00CE1F61"/>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13E7"/>
    <w:rsid w:val="00D018B0"/>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CC3"/>
    <w:rsid w:val="00D21F8B"/>
    <w:rsid w:val="00D22F38"/>
    <w:rsid w:val="00D23AF5"/>
    <w:rsid w:val="00D23B4E"/>
    <w:rsid w:val="00D241B2"/>
    <w:rsid w:val="00D24F14"/>
    <w:rsid w:val="00D259AE"/>
    <w:rsid w:val="00D25C85"/>
    <w:rsid w:val="00D26065"/>
    <w:rsid w:val="00D26166"/>
    <w:rsid w:val="00D26FF8"/>
    <w:rsid w:val="00D2792D"/>
    <w:rsid w:val="00D279AF"/>
    <w:rsid w:val="00D31F3F"/>
    <w:rsid w:val="00D32B53"/>
    <w:rsid w:val="00D338C2"/>
    <w:rsid w:val="00D33BB4"/>
    <w:rsid w:val="00D33DCA"/>
    <w:rsid w:val="00D35825"/>
    <w:rsid w:val="00D35EAE"/>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1F33"/>
    <w:rsid w:val="00DA28E3"/>
    <w:rsid w:val="00DA375E"/>
    <w:rsid w:val="00DA6C32"/>
    <w:rsid w:val="00DB1622"/>
    <w:rsid w:val="00DB1809"/>
    <w:rsid w:val="00DB2786"/>
    <w:rsid w:val="00DB48B8"/>
    <w:rsid w:val="00DB4932"/>
    <w:rsid w:val="00DB5547"/>
    <w:rsid w:val="00DB6F5C"/>
    <w:rsid w:val="00DC2387"/>
    <w:rsid w:val="00DC2DF7"/>
    <w:rsid w:val="00DC3E37"/>
    <w:rsid w:val="00DC5A75"/>
    <w:rsid w:val="00DC671C"/>
    <w:rsid w:val="00DD0DED"/>
    <w:rsid w:val="00DD2F4F"/>
    <w:rsid w:val="00DD2FCE"/>
    <w:rsid w:val="00DD35A8"/>
    <w:rsid w:val="00DD3CE9"/>
    <w:rsid w:val="00DD54AA"/>
    <w:rsid w:val="00DD632C"/>
    <w:rsid w:val="00DE0234"/>
    <w:rsid w:val="00DE1EF0"/>
    <w:rsid w:val="00DE231B"/>
    <w:rsid w:val="00DE2B5D"/>
    <w:rsid w:val="00DE3D83"/>
    <w:rsid w:val="00DE4824"/>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7649"/>
    <w:rsid w:val="00E308F9"/>
    <w:rsid w:val="00E31510"/>
    <w:rsid w:val="00E32367"/>
    <w:rsid w:val="00E33E41"/>
    <w:rsid w:val="00E35199"/>
    <w:rsid w:val="00E358F5"/>
    <w:rsid w:val="00E35C41"/>
    <w:rsid w:val="00E36AE3"/>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11F7"/>
    <w:rsid w:val="00E73F0A"/>
    <w:rsid w:val="00E75955"/>
    <w:rsid w:val="00E75CD4"/>
    <w:rsid w:val="00E76773"/>
    <w:rsid w:val="00E777D9"/>
    <w:rsid w:val="00E814F2"/>
    <w:rsid w:val="00E8241F"/>
    <w:rsid w:val="00E84E3C"/>
    <w:rsid w:val="00E857C6"/>
    <w:rsid w:val="00E85930"/>
    <w:rsid w:val="00E864E5"/>
    <w:rsid w:val="00E904FA"/>
    <w:rsid w:val="00E93639"/>
    <w:rsid w:val="00E93713"/>
    <w:rsid w:val="00E93993"/>
    <w:rsid w:val="00E944E2"/>
    <w:rsid w:val="00E94EB6"/>
    <w:rsid w:val="00E94FF5"/>
    <w:rsid w:val="00E95A83"/>
    <w:rsid w:val="00E9610E"/>
    <w:rsid w:val="00E963A8"/>
    <w:rsid w:val="00E96F99"/>
    <w:rsid w:val="00E973FF"/>
    <w:rsid w:val="00EA29CD"/>
    <w:rsid w:val="00EA4EFE"/>
    <w:rsid w:val="00EA555D"/>
    <w:rsid w:val="00EA69F7"/>
    <w:rsid w:val="00EA6F75"/>
    <w:rsid w:val="00EA7A96"/>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CD7"/>
    <w:rsid w:val="00EE70D8"/>
    <w:rsid w:val="00EE7156"/>
    <w:rsid w:val="00EE73D9"/>
    <w:rsid w:val="00EE78CB"/>
    <w:rsid w:val="00EF0448"/>
    <w:rsid w:val="00EF1EFB"/>
    <w:rsid w:val="00EF2B67"/>
    <w:rsid w:val="00EF3903"/>
    <w:rsid w:val="00EF3FAD"/>
    <w:rsid w:val="00F0134C"/>
    <w:rsid w:val="00F016D9"/>
    <w:rsid w:val="00F0175F"/>
    <w:rsid w:val="00F01EF6"/>
    <w:rsid w:val="00F02E4B"/>
    <w:rsid w:val="00F0400D"/>
    <w:rsid w:val="00F05DEF"/>
    <w:rsid w:val="00F078E1"/>
    <w:rsid w:val="00F07EDC"/>
    <w:rsid w:val="00F10797"/>
    <w:rsid w:val="00F108F7"/>
    <w:rsid w:val="00F124BE"/>
    <w:rsid w:val="00F13250"/>
    <w:rsid w:val="00F13A5F"/>
    <w:rsid w:val="00F13D6E"/>
    <w:rsid w:val="00F1416E"/>
    <w:rsid w:val="00F14777"/>
    <w:rsid w:val="00F1478F"/>
    <w:rsid w:val="00F14E06"/>
    <w:rsid w:val="00F15BFD"/>
    <w:rsid w:val="00F165EC"/>
    <w:rsid w:val="00F217CB"/>
    <w:rsid w:val="00F23127"/>
    <w:rsid w:val="00F2482F"/>
    <w:rsid w:val="00F268CC"/>
    <w:rsid w:val="00F26D4A"/>
    <w:rsid w:val="00F275E2"/>
    <w:rsid w:val="00F27A64"/>
    <w:rsid w:val="00F310C1"/>
    <w:rsid w:val="00F32534"/>
    <w:rsid w:val="00F32C25"/>
    <w:rsid w:val="00F34D6F"/>
    <w:rsid w:val="00F359B5"/>
    <w:rsid w:val="00F36377"/>
    <w:rsid w:val="00F37BE1"/>
    <w:rsid w:val="00F40673"/>
    <w:rsid w:val="00F41D2E"/>
    <w:rsid w:val="00F42E69"/>
    <w:rsid w:val="00F4325B"/>
    <w:rsid w:val="00F46403"/>
    <w:rsid w:val="00F465CB"/>
    <w:rsid w:val="00F47DDD"/>
    <w:rsid w:val="00F50E42"/>
    <w:rsid w:val="00F542B9"/>
    <w:rsid w:val="00F548F2"/>
    <w:rsid w:val="00F55C08"/>
    <w:rsid w:val="00F56A55"/>
    <w:rsid w:val="00F57057"/>
    <w:rsid w:val="00F57EC7"/>
    <w:rsid w:val="00F60E85"/>
    <w:rsid w:val="00F61328"/>
    <w:rsid w:val="00F616D4"/>
    <w:rsid w:val="00F61F15"/>
    <w:rsid w:val="00F63202"/>
    <w:rsid w:val="00F63348"/>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ormaslegais.com.br/legislacao/credito-consignado-limite-taxas.htm" TargetMode="External"/><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46</TotalTime>
  <Pages>16</Pages>
  <Words>3954</Words>
  <Characters>21357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12</cp:revision>
  <cp:lastPrinted>2020-10-30T02:04:00Z</cp:lastPrinted>
  <dcterms:created xsi:type="dcterms:W3CDTF">2022-04-12T21:51:00Z</dcterms:created>
  <dcterms:modified xsi:type="dcterms:W3CDTF">2022-04-13T00:58:00Z</dcterms:modified>
</cp:coreProperties>
</file>