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F5C420" w14:textId="03B1D8BB" w:rsidR="00D33F07" w:rsidRDefault="00D33F07" w:rsidP="00D33F07">
      <w:pPr>
        <w:spacing w:after="0" w:line="240" w:lineRule="auto"/>
        <w:jc w:val="center"/>
        <w:rPr>
          <w:rFonts w:cstheme="minorHAnsi"/>
          <w:b/>
          <w:bCs/>
          <w:sz w:val="24"/>
          <w:szCs w:val="24"/>
          <w:u w:val="single"/>
        </w:rPr>
      </w:pPr>
      <w:r w:rsidRPr="00D33F07">
        <w:rPr>
          <w:rFonts w:cstheme="minorHAnsi"/>
          <w:b/>
          <w:bCs/>
          <w:sz w:val="24"/>
          <w:szCs w:val="24"/>
          <w:u w:val="single"/>
        </w:rPr>
        <w:t>MODELO DE PEDIDO DE REEQUILÍBRIO ECONÔMICO FINANCEIRO</w:t>
      </w:r>
    </w:p>
    <w:p w14:paraId="59B655EF" w14:textId="62EB2AF5" w:rsidR="00D33F07" w:rsidRPr="00D33F07" w:rsidRDefault="00D33F07" w:rsidP="00D33F07">
      <w:pPr>
        <w:spacing w:after="0" w:line="240" w:lineRule="auto"/>
        <w:jc w:val="center"/>
        <w:rPr>
          <w:rFonts w:cstheme="minorHAnsi"/>
          <w:b/>
          <w:bCs/>
          <w:sz w:val="24"/>
          <w:szCs w:val="24"/>
          <w:u w:val="single"/>
        </w:rPr>
      </w:pPr>
    </w:p>
    <w:p w14:paraId="725A6B4A" w14:textId="77777777" w:rsidR="00D33F07" w:rsidRDefault="00D33F07" w:rsidP="00EF426B">
      <w:pPr>
        <w:spacing w:after="0" w:line="240" w:lineRule="auto"/>
        <w:jc w:val="both"/>
        <w:rPr>
          <w:rFonts w:cstheme="minorHAnsi"/>
          <w:sz w:val="24"/>
          <w:szCs w:val="24"/>
        </w:rPr>
      </w:pPr>
    </w:p>
    <w:p w14:paraId="63E72AF1" w14:textId="77777777" w:rsidR="00D33F07" w:rsidRDefault="00D33F07" w:rsidP="00EF426B">
      <w:pPr>
        <w:spacing w:after="0" w:line="240" w:lineRule="auto"/>
        <w:jc w:val="both"/>
        <w:rPr>
          <w:rFonts w:cstheme="minorHAnsi"/>
          <w:sz w:val="24"/>
          <w:szCs w:val="24"/>
        </w:rPr>
      </w:pPr>
    </w:p>
    <w:p w14:paraId="0358D7EA" w14:textId="11D2ED52" w:rsidR="00B02137" w:rsidRPr="00EF426B" w:rsidRDefault="00B02137" w:rsidP="00EF426B">
      <w:pPr>
        <w:spacing w:after="0" w:line="240" w:lineRule="auto"/>
        <w:jc w:val="both"/>
        <w:rPr>
          <w:rFonts w:cstheme="minorHAnsi"/>
          <w:sz w:val="24"/>
          <w:szCs w:val="24"/>
        </w:rPr>
      </w:pPr>
      <w:r w:rsidRPr="00EF426B">
        <w:rPr>
          <w:rFonts w:cstheme="minorHAnsi"/>
          <w:sz w:val="24"/>
          <w:szCs w:val="24"/>
        </w:rPr>
        <w:t>Ao</w:t>
      </w:r>
    </w:p>
    <w:p w14:paraId="30026CC4" w14:textId="0A9FCF92" w:rsidR="00B02137" w:rsidRPr="00EF426B" w:rsidRDefault="00D33F07" w:rsidP="00EF426B">
      <w:pPr>
        <w:spacing w:after="0" w:line="240" w:lineRule="auto"/>
        <w:jc w:val="both"/>
        <w:rPr>
          <w:rFonts w:cstheme="minorHAnsi"/>
          <w:sz w:val="24"/>
          <w:szCs w:val="24"/>
        </w:rPr>
      </w:pPr>
      <w:r>
        <w:rPr>
          <w:rFonts w:cstheme="minorHAnsi"/>
          <w:sz w:val="24"/>
          <w:szCs w:val="24"/>
        </w:rPr>
        <w:t>NOME DO ÓRGÃO</w:t>
      </w:r>
    </w:p>
    <w:p w14:paraId="681378DD" w14:textId="2FEABC6D" w:rsidR="00B02137" w:rsidRPr="00EF426B" w:rsidRDefault="00B02137" w:rsidP="00EF426B">
      <w:pPr>
        <w:spacing w:after="0" w:line="240" w:lineRule="auto"/>
        <w:jc w:val="both"/>
        <w:rPr>
          <w:rFonts w:cstheme="minorHAnsi"/>
          <w:sz w:val="24"/>
          <w:szCs w:val="24"/>
        </w:rPr>
      </w:pPr>
      <w:r w:rsidRPr="00EF426B">
        <w:rPr>
          <w:rFonts w:cstheme="minorHAnsi"/>
          <w:sz w:val="24"/>
          <w:szCs w:val="24"/>
        </w:rPr>
        <w:t xml:space="preserve">Ref.: Processo nº </w:t>
      </w:r>
    </w:p>
    <w:p w14:paraId="4E10A913" w14:textId="5B4B77C4" w:rsidR="00B02137" w:rsidRPr="00EF426B" w:rsidRDefault="00B02137" w:rsidP="00EF426B">
      <w:pPr>
        <w:spacing w:after="0" w:line="240" w:lineRule="auto"/>
        <w:jc w:val="both"/>
        <w:rPr>
          <w:rFonts w:cstheme="minorHAnsi"/>
          <w:sz w:val="24"/>
          <w:szCs w:val="24"/>
        </w:rPr>
      </w:pPr>
      <w:r w:rsidRPr="00EF426B">
        <w:rPr>
          <w:rFonts w:cstheme="minorHAnsi"/>
          <w:sz w:val="24"/>
          <w:szCs w:val="24"/>
        </w:rPr>
        <w:t xml:space="preserve">Pregão Eletrônico Nº </w:t>
      </w:r>
    </w:p>
    <w:p w14:paraId="7033223B" w14:textId="622201E0" w:rsidR="00B02137" w:rsidRPr="00EF426B" w:rsidRDefault="00D33F07" w:rsidP="00EF426B">
      <w:pPr>
        <w:spacing w:after="0" w:line="240" w:lineRule="auto"/>
        <w:jc w:val="both"/>
        <w:rPr>
          <w:rFonts w:cstheme="minorHAnsi"/>
          <w:sz w:val="24"/>
          <w:szCs w:val="24"/>
        </w:rPr>
      </w:pPr>
      <w:r>
        <w:rPr>
          <w:rFonts w:cstheme="minorHAnsi"/>
          <w:sz w:val="24"/>
          <w:szCs w:val="24"/>
        </w:rPr>
        <w:t>Nº DA ATA DE REGISTRO DE PREÇOS</w:t>
      </w:r>
    </w:p>
    <w:p w14:paraId="74B51396" w14:textId="77777777" w:rsidR="00B02137" w:rsidRPr="00EF426B" w:rsidRDefault="00B02137" w:rsidP="00EF426B">
      <w:pPr>
        <w:spacing w:before="120" w:after="120" w:line="360" w:lineRule="auto"/>
        <w:jc w:val="both"/>
        <w:rPr>
          <w:rFonts w:cstheme="minorHAnsi"/>
          <w:sz w:val="24"/>
          <w:szCs w:val="24"/>
        </w:rPr>
      </w:pPr>
    </w:p>
    <w:p w14:paraId="61BD5FE5" w14:textId="77777777" w:rsidR="00B02137" w:rsidRPr="00EF426B" w:rsidRDefault="00B02137" w:rsidP="00EF426B">
      <w:pPr>
        <w:spacing w:before="120" w:after="120" w:line="360" w:lineRule="auto"/>
        <w:jc w:val="both"/>
        <w:rPr>
          <w:rFonts w:cstheme="minorHAnsi"/>
          <w:sz w:val="24"/>
          <w:szCs w:val="24"/>
        </w:rPr>
      </w:pPr>
      <w:r w:rsidRPr="00EF426B">
        <w:rPr>
          <w:rFonts w:cstheme="minorHAnsi"/>
          <w:sz w:val="24"/>
          <w:szCs w:val="24"/>
        </w:rPr>
        <w:t>Prezados Senhores,</w:t>
      </w:r>
    </w:p>
    <w:p w14:paraId="3914BE84" w14:textId="3FEBE822" w:rsidR="00B02137" w:rsidRPr="00EF426B" w:rsidRDefault="00D33F07" w:rsidP="00EF426B">
      <w:pPr>
        <w:spacing w:before="120" w:after="120" w:line="360" w:lineRule="auto"/>
        <w:jc w:val="both"/>
        <w:rPr>
          <w:rFonts w:cstheme="minorHAnsi"/>
          <w:sz w:val="24"/>
          <w:szCs w:val="24"/>
        </w:rPr>
      </w:pPr>
      <w:r>
        <w:rPr>
          <w:rFonts w:cstheme="minorHAnsi"/>
          <w:sz w:val="24"/>
          <w:szCs w:val="24"/>
        </w:rPr>
        <w:t>DADOS DA EMPRESA QUE ASSINOU O CONTRATO</w:t>
      </w:r>
      <w:r w:rsidR="00B02137" w:rsidRPr="00EF426B">
        <w:rPr>
          <w:rFonts w:cstheme="minorHAnsi"/>
          <w:sz w:val="24"/>
          <w:szCs w:val="24"/>
        </w:rPr>
        <w:t xml:space="preserve">, por intermédio do seu representante legal </w:t>
      </w:r>
      <w:r>
        <w:rPr>
          <w:rFonts w:cstheme="minorHAnsi"/>
          <w:sz w:val="24"/>
          <w:szCs w:val="24"/>
        </w:rPr>
        <w:t>DADOS DO REPRESENTANTE LEGAL</w:t>
      </w:r>
      <w:r w:rsidR="00B02137" w:rsidRPr="00EF426B">
        <w:rPr>
          <w:rFonts w:cstheme="minorHAnsi"/>
          <w:sz w:val="24"/>
          <w:szCs w:val="24"/>
        </w:rPr>
        <w:t>, vem por meio desta expor e solicitar o que segue.</w:t>
      </w:r>
    </w:p>
    <w:p w14:paraId="6BDD9E20" w14:textId="3D7C16C7" w:rsidR="00B02137" w:rsidRPr="00EF426B" w:rsidRDefault="00B02137" w:rsidP="00EF426B">
      <w:pPr>
        <w:spacing w:before="120" w:after="120" w:line="360" w:lineRule="auto"/>
        <w:jc w:val="both"/>
        <w:rPr>
          <w:rFonts w:cstheme="minorHAnsi"/>
          <w:sz w:val="24"/>
          <w:szCs w:val="24"/>
        </w:rPr>
      </w:pPr>
      <w:r w:rsidRPr="00EF426B">
        <w:rPr>
          <w:rFonts w:cstheme="minorHAnsi"/>
          <w:sz w:val="24"/>
          <w:szCs w:val="24"/>
        </w:rPr>
        <w:t xml:space="preserve">Possuímos junto à </w:t>
      </w:r>
      <w:r w:rsidR="00D33F07">
        <w:rPr>
          <w:rFonts w:cstheme="minorHAnsi"/>
          <w:sz w:val="24"/>
          <w:szCs w:val="24"/>
        </w:rPr>
        <w:t>NOME DO ÓRGÃO</w:t>
      </w:r>
      <w:r w:rsidRPr="00EF426B">
        <w:rPr>
          <w:rFonts w:cstheme="minorHAnsi"/>
          <w:sz w:val="24"/>
          <w:szCs w:val="24"/>
        </w:rPr>
        <w:t xml:space="preserve">, Ata de Registro de Preços, oriunda do PE </w:t>
      </w:r>
      <w:r w:rsidR="00D33F07">
        <w:rPr>
          <w:rFonts w:cstheme="minorHAnsi"/>
          <w:sz w:val="24"/>
          <w:szCs w:val="24"/>
        </w:rPr>
        <w:t>XX/XXX</w:t>
      </w:r>
      <w:r w:rsidRPr="00EF426B">
        <w:rPr>
          <w:rFonts w:cstheme="minorHAnsi"/>
          <w:sz w:val="24"/>
          <w:szCs w:val="24"/>
        </w:rPr>
        <w:t xml:space="preserve">, cujo objeto é </w:t>
      </w:r>
      <w:r w:rsidR="00D33F07">
        <w:rPr>
          <w:rFonts w:cstheme="minorHAnsi"/>
          <w:sz w:val="24"/>
          <w:szCs w:val="24"/>
        </w:rPr>
        <w:t>XXXXXXXXXX</w:t>
      </w:r>
      <w:r w:rsidRPr="00EF426B">
        <w:rPr>
          <w:rFonts w:cstheme="minorHAnsi"/>
          <w:sz w:val="24"/>
          <w:szCs w:val="24"/>
        </w:rPr>
        <w:t xml:space="preserve">. O contrato foi firmado durante o segundo semestre de 2015, nesse interim vários fatos ocorreram no cenário econômico e financeiro do país, como o aumento da carga tributária, aumento no valor do frete e dos insumos, aumento do dólar, entre outros; fazendo com que as empresas tomassem medidas para evitar grandes perdas e até mesmo o fechamento de suas portas. Após assinatura da ATA nº </w:t>
      </w:r>
      <w:r w:rsidR="00D33F07">
        <w:rPr>
          <w:rFonts w:cstheme="minorHAnsi"/>
          <w:sz w:val="24"/>
          <w:szCs w:val="24"/>
        </w:rPr>
        <w:t>XX/XXX</w:t>
      </w:r>
      <w:r w:rsidRPr="00EF426B">
        <w:rPr>
          <w:rFonts w:cstheme="minorHAnsi"/>
          <w:sz w:val="24"/>
          <w:szCs w:val="24"/>
        </w:rPr>
        <w:t xml:space="preserve">, fomos surpreendidos com um reajuste, na </w:t>
      </w:r>
      <w:proofErr w:type="spellStart"/>
      <w:r w:rsidRPr="00EF426B">
        <w:rPr>
          <w:rFonts w:cstheme="minorHAnsi"/>
          <w:sz w:val="24"/>
          <w:szCs w:val="24"/>
        </w:rPr>
        <w:t>espe</w:t>
      </w:r>
      <w:r w:rsidR="00D33F07">
        <w:rPr>
          <w:rFonts w:cstheme="minorHAnsi"/>
          <w:sz w:val="24"/>
          <w:szCs w:val="24"/>
        </w:rPr>
        <w:t>f</w:t>
      </w:r>
      <w:r w:rsidRPr="00EF426B">
        <w:rPr>
          <w:rFonts w:cstheme="minorHAnsi"/>
          <w:sz w:val="24"/>
          <w:szCs w:val="24"/>
        </w:rPr>
        <w:t>a</w:t>
      </w:r>
      <w:proofErr w:type="spellEnd"/>
      <w:r w:rsidRPr="00EF426B">
        <w:rPr>
          <w:rFonts w:cstheme="minorHAnsi"/>
          <w:sz w:val="24"/>
          <w:szCs w:val="24"/>
        </w:rPr>
        <w:t xml:space="preserve"> de 9,6%, e em dezembro de 2015, recebemos uma nova informação de aumento, essa passaria a vigorar em 01/02/2016, o qual seria na esfera de 24,9%. Na verdade, hoje não podemos esperar que o valor da resma, ou caixa, de papel permaneça estável, temos, na verdade, uma variação de preços, com reajustes mensais, ou semanais, fazendo com que precisemos rever todos os contratos que firmamos nesse período. A única certeza que temos é que manter o valor registrado em ATA nos trará prejuízos incalculáveis. Estamos vivendo um momento econômico muito delicado, e trazendo para o cenário atual, estamos nos deparando com recorrentes aumentos no valor da resma do papel. Durante o primeiro semestre do ano de 2015, os preços praticados no mercado já estavam mais elevados que os praticados no âmbito das licitações, inclusive em relação ao valor que fora registrado na ATA do PE </w:t>
      </w:r>
      <w:r w:rsidR="00D33F07">
        <w:rPr>
          <w:rFonts w:cstheme="minorHAnsi"/>
          <w:sz w:val="24"/>
          <w:szCs w:val="24"/>
        </w:rPr>
        <w:t>XX</w:t>
      </w:r>
      <w:r w:rsidRPr="00EF426B">
        <w:rPr>
          <w:rFonts w:cstheme="minorHAnsi"/>
          <w:sz w:val="24"/>
          <w:szCs w:val="24"/>
        </w:rPr>
        <w:t>/</w:t>
      </w:r>
      <w:r w:rsidR="00D33F07">
        <w:rPr>
          <w:rFonts w:cstheme="minorHAnsi"/>
          <w:sz w:val="24"/>
          <w:szCs w:val="24"/>
        </w:rPr>
        <w:t>XXX</w:t>
      </w:r>
      <w:r w:rsidRPr="00EF426B">
        <w:rPr>
          <w:rFonts w:cstheme="minorHAnsi"/>
          <w:sz w:val="24"/>
          <w:szCs w:val="24"/>
        </w:rPr>
        <w:t xml:space="preserve"> Entendemos que o registro de preços não significa a aquisição do material registrado, mas precisamos estar cientes de que caso o objeto seja solicitado o mesmo deverá ser entregue nas condições firmadas. Infelizmente não </w:t>
      </w:r>
      <w:r w:rsidRPr="00EF426B">
        <w:rPr>
          <w:rFonts w:cstheme="minorHAnsi"/>
          <w:sz w:val="24"/>
          <w:szCs w:val="24"/>
        </w:rPr>
        <w:lastRenderedPageBreak/>
        <w:t xml:space="preserve">temos como arcar com os custos adicionais devido a tais aumentos, sem que os mesmos reflitam na saúde financeira de nossa empresa, ou até mesmo de sua continuidade ou não. O valor da caixa de papel A4 branco foi registrado em R$ </w:t>
      </w:r>
      <w:r w:rsidR="00D33F07">
        <w:rPr>
          <w:rFonts w:cstheme="minorHAnsi"/>
          <w:sz w:val="24"/>
          <w:szCs w:val="24"/>
        </w:rPr>
        <w:t>XX,XX</w:t>
      </w:r>
      <w:r w:rsidRPr="00EF426B">
        <w:rPr>
          <w:rFonts w:cstheme="minorHAnsi"/>
          <w:sz w:val="24"/>
          <w:szCs w:val="24"/>
        </w:rPr>
        <w:t xml:space="preserve"> (</w:t>
      </w:r>
      <w:r w:rsidR="00D33F07">
        <w:rPr>
          <w:rFonts w:cstheme="minorHAnsi"/>
          <w:sz w:val="24"/>
          <w:szCs w:val="24"/>
        </w:rPr>
        <w:t>VALOR POR EXTENSO</w:t>
      </w:r>
      <w:r w:rsidRPr="00EF426B">
        <w:rPr>
          <w:rFonts w:cstheme="minorHAnsi"/>
          <w:sz w:val="24"/>
          <w:szCs w:val="24"/>
        </w:rPr>
        <w:t xml:space="preserve">), sendo que só com o aumento de 24,3% da fabricante, o valor da caixa de papel está saindo por R$ </w:t>
      </w:r>
      <w:r w:rsidR="00D33F07">
        <w:rPr>
          <w:rFonts w:cstheme="minorHAnsi"/>
          <w:sz w:val="24"/>
          <w:szCs w:val="24"/>
        </w:rPr>
        <w:t>XXX,XX</w:t>
      </w:r>
      <w:r w:rsidRPr="00EF426B">
        <w:rPr>
          <w:rFonts w:cstheme="minorHAnsi"/>
          <w:sz w:val="24"/>
          <w:szCs w:val="24"/>
        </w:rPr>
        <w:t xml:space="preserve"> (</w:t>
      </w:r>
      <w:r w:rsidR="00D33F07">
        <w:rPr>
          <w:rFonts w:cstheme="minorHAnsi"/>
          <w:sz w:val="24"/>
          <w:szCs w:val="24"/>
        </w:rPr>
        <w:t>VALOR POR EXTENSO</w:t>
      </w:r>
      <w:r w:rsidRPr="00EF426B">
        <w:rPr>
          <w:rFonts w:cstheme="minorHAnsi"/>
          <w:sz w:val="24"/>
          <w:szCs w:val="24"/>
        </w:rPr>
        <w:t xml:space="preserve">); já o valor do papel reciclado registrado foi de R$ </w:t>
      </w:r>
      <w:r w:rsidR="00D33F07">
        <w:rPr>
          <w:rFonts w:cstheme="minorHAnsi"/>
          <w:sz w:val="24"/>
          <w:szCs w:val="24"/>
        </w:rPr>
        <w:t>XXX,XX</w:t>
      </w:r>
      <w:r w:rsidRPr="00EF426B">
        <w:rPr>
          <w:rFonts w:cstheme="minorHAnsi"/>
          <w:sz w:val="24"/>
          <w:szCs w:val="24"/>
        </w:rPr>
        <w:t xml:space="preserve"> (</w:t>
      </w:r>
      <w:r w:rsidR="00D33F07">
        <w:rPr>
          <w:rFonts w:cstheme="minorHAnsi"/>
          <w:sz w:val="24"/>
          <w:szCs w:val="24"/>
        </w:rPr>
        <w:t>VALOR POR EXTENSO</w:t>
      </w:r>
      <w:r w:rsidRPr="00EF426B">
        <w:rPr>
          <w:rFonts w:cstheme="minorHAnsi"/>
          <w:sz w:val="24"/>
          <w:szCs w:val="24"/>
        </w:rPr>
        <w:t xml:space="preserve">), e com o aumento estamos adquirindo a mercadoria por R$ </w:t>
      </w:r>
      <w:r w:rsidR="00D33F07">
        <w:rPr>
          <w:rFonts w:cstheme="minorHAnsi"/>
          <w:sz w:val="24"/>
          <w:szCs w:val="24"/>
        </w:rPr>
        <w:t>XXX,XX</w:t>
      </w:r>
      <w:r w:rsidR="00D33F07" w:rsidRPr="00EF426B">
        <w:rPr>
          <w:rFonts w:cstheme="minorHAnsi"/>
          <w:sz w:val="24"/>
          <w:szCs w:val="24"/>
        </w:rPr>
        <w:t xml:space="preserve"> </w:t>
      </w:r>
      <w:r w:rsidRPr="00EF426B">
        <w:rPr>
          <w:rFonts w:cstheme="minorHAnsi"/>
          <w:sz w:val="24"/>
          <w:szCs w:val="24"/>
        </w:rPr>
        <w:t>(</w:t>
      </w:r>
      <w:r w:rsidR="00D33F07">
        <w:rPr>
          <w:rFonts w:cstheme="minorHAnsi"/>
          <w:sz w:val="24"/>
          <w:szCs w:val="24"/>
        </w:rPr>
        <w:t>VALOR POR EXTENSO</w:t>
      </w:r>
      <w:r w:rsidRPr="00EF426B">
        <w:rPr>
          <w:rFonts w:cstheme="minorHAnsi"/>
          <w:sz w:val="24"/>
          <w:szCs w:val="24"/>
        </w:rPr>
        <w:t>). Nesse valor ainda precisamos acrescenta os impostos incidentes da transação.</w:t>
      </w:r>
    </w:p>
    <w:p w14:paraId="3008191A" w14:textId="77777777" w:rsidR="00B02137" w:rsidRPr="00EF426B" w:rsidRDefault="00B02137" w:rsidP="00EF426B">
      <w:pPr>
        <w:spacing w:before="120" w:after="120" w:line="360" w:lineRule="auto"/>
        <w:jc w:val="both"/>
        <w:rPr>
          <w:rFonts w:cstheme="minorHAnsi"/>
          <w:b/>
          <w:bCs/>
          <w:sz w:val="24"/>
          <w:szCs w:val="24"/>
        </w:rPr>
      </w:pPr>
      <w:r w:rsidRPr="00EF426B">
        <w:rPr>
          <w:rFonts w:cstheme="minorHAnsi"/>
          <w:b/>
          <w:bCs/>
          <w:sz w:val="24"/>
          <w:szCs w:val="24"/>
        </w:rPr>
        <w:t>DOS FUNDAMENTOS LEGAIS DO PEDIDO</w:t>
      </w:r>
    </w:p>
    <w:p w14:paraId="41B7CE71" w14:textId="77777777" w:rsidR="00B02137" w:rsidRPr="00EF426B" w:rsidRDefault="00B02137" w:rsidP="00EF426B">
      <w:pPr>
        <w:spacing w:before="120" w:after="120" w:line="360" w:lineRule="auto"/>
        <w:jc w:val="both"/>
        <w:rPr>
          <w:rFonts w:cstheme="minorHAnsi"/>
          <w:sz w:val="24"/>
          <w:szCs w:val="24"/>
        </w:rPr>
      </w:pPr>
      <w:r w:rsidRPr="00EF426B">
        <w:rPr>
          <w:rFonts w:cstheme="minorHAnsi"/>
          <w:sz w:val="24"/>
          <w:szCs w:val="24"/>
        </w:rPr>
        <w:t>Por primar sempre pela excelência de seus processos e satisfação de nossos clientes, estamos expondo todas as dificuldades encontradas na tentativa de achar a solução mais benéfica para as partes.</w:t>
      </w:r>
    </w:p>
    <w:p w14:paraId="43779047" w14:textId="77777777" w:rsidR="00B02137" w:rsidRPr="00EF426B" w:rsidRDefault="00B02137" w:rsidP="00EF426B">
      <w:pPr>
        <w:spacing w:before="120" w:after="120" w:line="360" w:lineRule="auto"/>
        <w:jc w:val="both"/>
        <w:rPr>
          <w:rFonts w:cstheme="minorHAnsi"/>
          <w:sz w:val="24"/>
          <w:szCs w:val="24"/>
        </w:rPr>
      </w:pPr>
      <w:r w:rsidRPr="00EF426B">
        <w:rPr>
          <w:rFonts w:cstheme="minorHAnsi"/>
          <w:sz w:val="24"/>
          <w:szCs w:val="24"/>
        </w:rPr>
        <w:t>Assim, com base no art. 65, II, “d”, da Lei 8.666/93</w:t>
      </w:r>
      <w:r w:rsidR="00EF426B" w:rsidRPr="00EF426B">
        <w:rPr>
          <w:rStyle w:val="Refdenotaderodap"/>
          <w:rFonts w:cstheme="minorHAnsi"/>
          <w:sz w:val="24"/>
          <w:szCs w:val="24"/>
        </w:rPr>
        <w:footnoteReference w:id="1"/>
      </w:r>
      <w:r w:rsidRPr="00EF426B">
        <w:rPr>
          <w:rFonts w:cstheme="minorHAnsi"/>
          <w:sz w:val="24"/>
          <w:szCs w:val="24"/>
        </w:rPr>
        <w:t>, e também no Decreto 7.892/2013 vimos por intermédio deste solicitar o reequilíbrio econômico-financeiro do contrato firmado com este órgão, visto que os valores ora registrados em ATA não se concretizam com o atual cenário econômico que estamos vivendo.</w:t>
      </w:r>
    </w:p>
    <w:p w14:paraId="5CE6DBB8" w14:textId="77777777" w:rsidR="00AC6794" w:rsidRPr="00EF426B" w:rsidRDefault="00B02137" w:rsidP="00EF426B">
      <w:pPr>
        <w:spacing w:before="120" w:after="120" w:line="360" w:lineRule="auto"/>
        <w:jc w:val="both"/>
        <w:rPr>
          <w:rFonts w:cstheme="minorHAnsi"/>
          <w:sz w:val="24"/>
          <w:szCs w:val="24"/>
        </w:rPr>
      </w:pPr>
      <w:r w:rsidRPr="00EF426B">
        <w:rPr>
          <w:rFonts w:cstheme="minorHAnsi"/>
          <w:sz w:val="24"/>
          <w:szCs w:val="24"/>
        </w:rPr>
        <w:t>Conforme observamos, segundo apregoa a Lei, verificando-se uma situação de desequilíbrio financeiro do contrato, que se traduz na desproporção das condições econômicas originalmente pactuadas, impõe-se a adoção de medidas para recompor o equilíbrio perdido.</w:t>
      </w:r>
    </w:p>
    <w:p w14:paraId="1F87F936" w14:textId="77777777" w:rsidR="00EF426B" w:rsidRPr="00EF426B" w:rsidRDefault="00EF426B" w:rsidP="00EF426B">
      <w:pPr>
        <w:spacing w:before="120" w:after="120" w:line="360" w:lineRule="auto"/>
        <w:jc w:val="both"/>
        <w:rPr>
          <w:rFonts w:cstheme="minorHAnsi"/>
          <w:sz w:val="24"/>
          <w:szCs w:val="24"/>
        </w:rPr>
      </w:pPr>
      <w:r w:rsidRPr="00EF426B">
        <w:rPr>
          <w:rFonts w:cstheme="minorHAnsi"/>
          <w:sz w:val="24"/>
          <w:szCs w:val="24"/>
        </w:rPr>
        <w:t>Nesta mesma linha de entendimento segue a Orientação Normativa nº 22 da AGU</w:t>
      </w:r>
      <w:r w:rsidRPr="00EF426B">
        <w:rPr>
          <w:rStyle w:val="Refdenotaderodap"/>
          <w:rFonts w:cstheme="minorHAnsi"/>
          <w:sz w:val="24"/>
          <w:szCs w:val="24"/>
        </w:rPr>
        <w:footnoteReference w:id="2"/>
      </w:r>
      <w:r w:rsidRPr="00EF426B">
        <w:rPr>
          <w:rFonts w:cstheme="minorHAnsi"/>
          <w:sz w:val="24"/>
          <w:szCs w:val="24"/>
        </w:rPr>
        <w:t xml:space="preserve"> e acórdão do TCU</w:t>
      </w:r>
      <w:r w:rsidRPr="00EF426B">
        <w:rPr>
          <w:rStyle w:val="Refdenotaderodap"/>
          <w:rFonts w:cstheme="minorHAnsi"/>
          <w:sz w:val="24"/>
          <w:szCs w:val="24"/>
        </w:rPr>
        <w:footnoteReference w:id="3"/>
      </w:r>
      <w:r w:rsidRPr="00EF426B">
        <w:rPr>
          <w:rFonts w:cstheme="minorHAnsi"/>
          <w:sz w:val="24"/>
          <w:szCs w:val="24"/>
        </w:rPr>
        <w:t xml:space="preserve"> dispondo que:</w:t>
      </w:r>
    </w:p>
    <w:p w14:paraId="3E705E84" w14:textId="77777777" w:rsidR="00EF426B" w:rsidRPr="00EF426B" w:rsidRDefault="00EF426B" w:rsidP="00EF426B">
      <w:pPr>
        <w:spacing w:before="120" w:after="120" w:line="360" w:lineRule="auto"/>
        <w:ind w:left="2268"/>
        <w:jc w:val="both"/>
        <w:rPr>
          <w:rFonts w:cstheme="minorHAnsi"/>
          <w:sz w:val="24"/>
          <w:szCs w:val="24"/>
        </w:rPr>
      </w:pPr>
      <w:r w:rsidRPr="00EF426B">
        <w:rPr>
          <w:rFonts w:cstheme="minorHAnsi"/>
          <w:sz w:val="24"/>
          <w:szCs w:val="24"/>
        </w:rPr>
        <w:lastRenderedPageBreak/>
        <w:t>“Orientação Normativa da AGU nº 22/09 - O reequilíbrio econômico-financeiro pode ser concedido a qualquer tempo, independentemente de previsão contratual, desde que verificadas as circunstâncias elencadas na letra “d” do inc. II do art. 65, da Lei nº 8.666, de 1993.</w:t>
      </w:r>
    </w:p>
    <w:p w14:paraId="77E6B5E2" w14:textId="77777777" w:rsidR="00EF426B" w:rsidRPr="00EF426B" w:rsidRDefault="00EF426B" w:rsidP="00EF426B">
      <w:pPr>
        <w:spacing w:before="120" w:after="120" w:line="360" w:lineRule="auto"/>
        <w:jc w:val="both"/>
        <w:rPr>
          <w:rFonts w:cstheme="minorHAnsi"/>
          <w:sz w:val="24"/>
          <w:szCs w:val="24"/>
        </w:rPr>
      </w:pPr>
      <w:r w:rsidRPr="00EF426B">
        <w:rPr>
          <w:rFonts w:cstheme="minorHAnsi"/>
          <w:sz w:val="24"/>
          <w:szCs w:val="24"/>
        </w:rPr>
        <w:t>Acordão do TCU n 313/2002 – Plenário</w:t>
      </w:r>
    </w:p>
    <w:p w14:paraId="68DC8753" w14:textId="77777777" w:rsidR="00EF426B" w:rsidRPr="00EF426B" w:rsidRDefault="00EF426B" w:rsidP="00EF426B">
      <w:pPr>
        <w:spacing w:before="120" w:after="120" w:line="360" w:lineRule="auto"/>
        <w:ind w:left="2268"/>
        <w:jc w:val="both"/>
        <w:rPr>
          <w:rFonts w:cstheme="minorHAnsi"/>
          <w:sz w:val="24"/>
          <w:szCs w:val="24"/>
        </w:rPr>
      </w:pPr>
      <w:r w:rsidRPr="00EF426B">
        <w:rPr>
          <w:rFonts w:cstheme="minorHAnsi"/>
          <w:sz w:val="24"/>
          <w:szCs w:val="24"/>
        </w:rPr>
        <w:t xml:space="preserve">31. Observo, ainda, que </w:t>
      </w:r>
      <w:r w:rsidRPr="00EF426B">
        <w:rPr>
          <w:rFonts w:cstheme="minorHAnsi"/>
          <w:b/>
          <w:bCs/>
          <w:sz w:val="24"/>
          <w:szCs w:val="24"/>
        </w:rPr>
        <w:t>o princípio da vinculação ao Edital não pode impedir o reconhecimento da incidência de hipótese de necessidade de alteração das condições originais de pagamentos.</w:t>
      </w:r>
      <w:r w:rsidRPr="00EF426B">
        <w:rPr>
          <w:rFonts w:cstheme="minorHAnsi"/>
          <w:sz w:val="24"/>
          <w:szCs w:val="24"/>
        </w:rPr>
        <w:t xml:space="preserve"> Exatamente porque o próprio sistema positivado vigente a época dos fatos ora enfocados – e também que passou a vigorar como o advento da Lei n 8.666/93 – autoriza a modificação da avença original, quando se fizer necessária a retomada do equilíbrio econômico-financeiro. </w:t>
      </w:r>
      <w:r w:rsidRPr="00EF426B">
        <w:rPr>
          <w:rFonts w:cstheme="minorHAnsi"/>
          <w:b/>
          <w:bCs/>
          <w:sz w:val="24"/>
          <w:szCs w:val="24"/>
        </w:rPr>
        <w:t>Assim sendo, há de se reconhecer que, nas situações em que se fizer necessária a repactuação para restauração desse equilíbrio, o princípio da vinculação aos termos do Edital cederá – obrigatoriamente – as normas que buscam preservar a compatibilidade entre o conjunto de encargos impostos ao particular e a remuneração”.</w:t>
      </w:r>
    </w:p>
    <w:p w14:paraId="6F406E77" w14:textId="77777777" w:rsidR="00EF426B" w:rsidRPr="00EF426B" w:rsidRDefault="00EF426B" w:rsidP="00EF426B">
      <w:pPr>
        <w:spacing w:before="120" w:after="120" w:line="360" w:lineRule="auto"/>
        <w:jc w:val="both"/>
        <w:rPr>
          <w:rFonts w:cstheme="minorHAnsi"/>
          <w:sz w:val="24"/>
          <w:szCs w:val="24"/>
        </w:rPr>
      </w:pPr>
      <w:r w:rsidRPr="00EF426B">
        <w:rPr>
          <w:rFonts w:cstheme="minorHAnsi"/>
          <w:sz w:val="24"/>
          <w:szCs w:val="24"/>
        </w:rPr>
        <w:t xml:space="preserve">Inúmeras são as decisões do TCU, que tem reiterado a necessidade de a Administração Direta e Indireta respeitar o disposto no artigo 65 da Lei nº 8.666/93, e faz uma defesa veemente do equilíbrio financeiro dos contratos, </w:t>
      </w:r>
      <w:r w:rsidRPr="00EF426B">
        <w:rPr>
          <w:rFonts w:cstheme="minorHAnsi"/>
          <w:i/>
          <w:iCs/>
          <w:sz w:val="24"/>
          <w:szCs w:val="24"/>
        </w:rPr>
        <w:t xml:space="preserve">in </w:t>
      </w:r>
      <w:proofErr w:type="spellStart"/>
      <w:r w:rsidRPr="00EF426B">
        <w:rPr>
          <w:rFonts w:cstheme="minorHAnsi"/>
          <w:i/>
          <w:iCs/>
          <w:sz w:val="24"/>
          <w:szCs w:val="24"/>
        </w:rPr>
        <w:t>verbis</w:t>
      </w:r>
      <w:proofErr w:type="spellEnd"/>
      <w:r w:rsidRPr="00EF426B">
        <w:rPr>
          <w:rFonts w:cstheme="minorHAnsi"/>
          <w:sz w:val="24"/>
          <w:szCs w:val="24"/>
        </w:rPr>
        <w:t>:</w:t>
      </w:r>
    </w:p>
    <w:p w14:paraId="15DAB9FA" w14:textId="77777777" w:rsidR="00EF426B" w:rsidRPr="00EF426B" w:rsidRDefault="00EF426B" w:rsidP="00EF426B">
      <w:pPr>
        <w:spacing w:before="120" w:after="120" w:line="360" w:lineRule="auto"/>
        <w:jc w:val="both"/>
        <w:rPr>
          <w:rFonts w:cstheme="minorHAnsi"/>
          <w:sz w:val="24"/>
          <w:szCs w:val="24"/>
        </w:rPr>
      </w:pPr>
      <w:r w:rsidRPr="00EF426B">
        <w:rPr>
          <w:rFonts w:cstheme="minorHAnsi"/>
          <w:sz w:val="24"/>
          <w:szCs w:val="24"/>
        </w:rPr>
        <w:t>Acórdão nº 1.595/2006-Plenário.</w:t>
      </w:r>
    </w:p>
    <w:p w14:paraId="031D7148" w14:textId="77777777" w:rsidR="00EF426B" w:rsidRPr="00EF426B" w:rsidRDefault="00EF426B" w:rsidP="00EF426B">
      <w:pPr>
        <w:pStyle w:val="Default"/>
        <w:spacing w:before="120" w:after="120" w:line="360" w:lineRule="auto"/>
        <w:ind w:left="2268"/>
        <w:jc w:val="both"/>
        <w:rPr>
          <w:rFonts w:asciiTheme="minorHAnsi" w:hAnsiTheme="minorHAnsi" w:cstheme="minorHAnsi"/>
        </w:rPr>
      </w:pPr>
      <w:r w:rsidRPr="00EF426B">
        <w:rPr>
          <w:rFonts w:asciiTheme="minorHAnsi" w:hAnsiTheme="minorHAnsi" w:cstheme="minorHAnsi"/>
        </w:rPr>
        <w:t xml:space="preserve">“Quanto à possibilidade do reequilíbrio econômico-financeiro do ajuste firmado com a Administração, devido à variação cambial, este Tribunal assim se posicionou: “É aplicável a teoria da imprevisão e a possibilidade de recomposição do equilíbrio contratual, em razão de valorização cambial. Precedente.” </w:t>
      </w:r>
    </w:p>
    <w:p w14:paraId="1B8F993F" w14:textId="77777777" w:rsidR="00EF426B" w:rsidRPr="00EF426B" w:rsidRDefault="00EF426B" w:rsidP="00EF426B">
      <w:pPr>
        <w:pStyle w:val="Default"/>
        <w:spacing w:before="120" w:after="120" w:line="360" w:lineRule="auto"/>
        <w:rPr>
          <w:rFonts w:asciiTheme="minorHAnsi" w:hAnsiTheme="minorHAnsi" w:cstheme="minorHAnsi"/>
        </w:rPr>
      </w:pPr>
      <w:r w:rsidRPr="00EF426B">
        <w:rPr>
          <w:rFonts w:asciiTheme="minorHAnsi" w:hAnsiTheme="minorHAnsi" w:cstheme="minorHAnsi"/>
        </w:rPr>
        <w:t xml:space="preserve">Trecho do Acórdão nº 25/2010 – TCU – Plenário </w:t>
      </w:r>
    </w:p>
    <w:p w14:paraId="6EF6C14E" w14:textId="77777777" w:rsidR="00EF426B" w:rsidRPr="00EF426B" w:rsidRDefault="00EF426B" w:rsidP="00EF426B">
      <w:pPr>
        <w:pStyle w:val="Default"/>
        <w:spacing w:before="120" w:after="120" w:line="360" w:lineRule="auto"/>
        <w:ind w:left="2268"/>
        <w:jc w:val="both"/>
        <w:rPr>
          <w:rFonts w:asciiTheme="minorHAnsi" w:hAnsiTheme="minorHAnsi" w:cstheme="minorHAnsi"/>
        </w:rPr>
      </w:pPr>
      <w:r w:rsidRPr="00EF426B">
        <w:rPr>
          <w:rFonts w:asciiTheme="minorHAnsi" w:hAnsiTheme="minorHAnsi" w:cstheme="minorHAnsi"/>
        </w:rPr>
        <w:lastRenderedPageBreak/>
        <w:t xml:space="preserve">“O combate ao enriquecimento sem causa exige, por derivação lógica, a manutenção da relação econômica estabelecida. Caio Tácito, mestre dos mais prestigiados, ensina em seu artigo ‘o Equilíbrio Financeiro nos Contratos Administrativos’ (RDA no. 187, pp. 90/93, </w:t>
      </w:r>
      <w:proofErr w:type="spellStart"/>
      <w:r w:rsidRPr="00EF426B">
        <w:rPr>
          <w:rFonts w:asciiTheme="minorHAnsi" w:hAnsiTheme="minorHAnsi" w:cstheme="minorHAnsi"/>
        </w:rPr>
        <w:t>jan</w:t>
      </w:r>
      <w:proofErr w:type="spellEnd"/>
      <w:r w:rsidRPr="00EF426B">
        <w:rPr>
          <w:rFonts w:asciiTheme="minorHAnsi" w:hAnsiTheme="minorHAnsi" w:cstheme="minorHAnsi"/>
        </w:rPr>
        <w:t xml:space="preserve">/mar 2002) que esse equilíbrio se traduz no direito do outro contratante ao equilíbrio econômico-financeiro do contrato administrativo, ou seja, à </w:t>
      </w:r>
      <w:r w:rsidRPr="00EF426B">
        <w:rPr>
          <w:rFonts w:asciiTheme="minorHAnsi" w:hAnsiTheme="minorHAnsi" w:cstheme="minorHAnsi"/>
          <w:b/>
          <w:bCs/>
        </w:rPr>
        <w:t>permanente equivalência entre a obrigação de fazer do contratante privado e a obrigação de pagar da administração pública</w:t>
      </w:r>
      <w:r w:rsidRPr="00EF426B">
        <w:rPr>
          <w:rFonts w:asciiTheme="minorHAnsi" w:hAnsiTheme="minorHAnsi" w:cstheme="minorHAnsi"/>
        </w:rPr>
        <w:t xml:space="preserve">” (grifo nosso) </w:t>
      </w:r>
    </w:p>
    <w:p w14:paraId="0B62BFC1" w14:textId="77777777" w:rsidR="00EF426B" w:rsidRPr="00EF426B" w:rsidRDefault="00EF426B" w:rsidP="00EF426B">
      <w:pPr>
        <w:pStyle w:val="Default"/>
        <w:spacing w:before="120" w:after="120" w:line="360" w:lineRule="auto"/>
        <w:jc w:val="both"/>
        <w:rPr>
          <w:rFonts w:asciiTheme="minorHAnsi" w:hAnsiTheme="minorHAnsi" w:cstheme="minorHAnsi"/>
        </w:rPr>
      </w:pPr>
      <w:r w:rsidRPr="00EF426B">
        <w:rPr>
          <w:rFonts w:asciiTheme="minorHAnsi" w:hAnsiTheme="minorHAnsi" w:cstheme="minorHAnsi"/>
        </w:rPr>
        <w:t xml:space="preserve">Não obstante, o direito ao reequilíbrio financeiro do contrato, por parte daqueles que contratam com o poder público, não tem data estabelecida para ocorrer, por uma questão de simples lógica. Verifica-se a necessidade de recomposição a partir do momento em que se perde o </w:t>
      </w:r>
      <w:r w:rsidRPr="00EF426B">
        <w:rPr>
          <w:rFonts w:asciiTheme="minorHAnsi" w:hAnsiTheme="minorHAnsi" w:cstheme="minorHAnsi"/>
          <w:i/>
          <w:iCs/>
        </w:rPr>
        <w:t xml:space="preserve">status quo </w:t>
      </w:r>
      <w:r w:rsidRPr="00EF426B">
        <w:rPr>
          <w:rFonts w:asciiTheme="minorHAnsi" w:hAnsiTheme="minorHAnsi" w:cstheme="minorHAnsi"/>
        </w:rPr>
        <w:t xml:space="preserve">financeiro original do contrato, sendo patente o seu resgate, através da concessão do reequilíbrio. </w:t>
      </w:r>
      <w:r w:rsidRPr="00EF426B">
        <w:rPr>
          <w:rFonts w:asciiTheme="minorHAnsi" w:hAnsiTheme="minorHAnsi" w:cstheme="minorHAnsi"/>
          <w:i/>
          <w:iCs/>
        </w:rPr>
        <w:t xml:space="preserve">In </w:t>
      </w:r>
      <w:proofErr w:type="spellStart"/>
      <w:r w:rsidRPr="00EF426B">
        <w:rPr>
          <w:rFonts w:asciiTheme="minorHAnsi" w:hAnsiTheme="minorHAnsi" w:cstheme="minorHAnsi"/>
          <w:i/>
          <w:iCs/>
        </w:rPr>
        <w:t>casu</w:t>
      </w:r>
      <w:proofErr w:type="spellEnd"/>
      <w:r w:rsidRPr="00EF426B">
        <w:rPr>
          <w:rFonts w:asciiTheme="minorHAnsi" w:hAnsiTheme="minorHAnsi" w:cstheme="minorHAnsi"/>
        </w:rPr>
        <w:t xml:space="preserve">, resta comprovado que as compras que serão realizadas por este órgão sofrerão influência da alta variação cambial ocorrida no momento em que a proposta fora apresentada até a presente data, o que justifica a aplicação da alínea </w:t>
      </w:r>
      <w:r w:rsidRPr="00EF426B">
        <w:rPr>
          <w:rFonts w:asciiTheme="minorHAnsi" w:hAnsiTheme="minorHAnsi" w:cstheme="minorHAnsi"/>
          <w:i/>
          <w:iCs/>
        </w:rPr>
        <w:t xml:space="preserve">d </w:t>
      </w:r>
      <w:r w:rsidRPr="00EF426B">
        <w:rPr>
          <w:rFonts w:asciiTheme="minorHAnsi" w:hAnsiTheme="minorHAnsi" w:cstheme="minorHAnsi"/>
        </w:rPr>
        <w:t>do inciso II, da Lei 8.666/93. Tanto que o caso em tela não se trata de mero reajuste, posto que este se opere automaticamente, mas, diferentemente, a pretensão aqui deduzida importa em dilação probatória mediante sucinto processo administrativo a fim de que comprove a perda da equação econômico-financeira do contrato inicial, conforme se pode perceber. Conforme determina a já citada alínea “</w:t>
      </w:r>
      <w:r w:rsidRPr="00EF426B">
        <w:rPr>
          <w:rFonts w:asciiTheme="minorHAnsi" w:hAnsiTheme="minorHAnsi" w:cstheme="minorHAnsi"/>
          <w:i/>
          <w:iCs/>
        </w:rPr>
        <w:t xml:space="preserve">d” </w:t>
      </w:r>
      <w:r w:rsidRPr="00EF426B">
        <w:rPr>
          <w:rFonts w:asciiTheme="minorHAnsi" w:hAnsiTheme="minorHAnsi" w:cstheme="minorHAnsi"/>
        </w:rPr>
        <w:t xml:space="preserve">do disposto legal, o fato ensejador da recomposição dos preços em função da perda do equilíbrio financeiro do contrato pode até ser previsível, mas as consequências são imprevisíveis. </w:t>
      </w:r>
    </w:p>
    <w:p w14:paraId="666310AC" w14:textId="77777777" w:rsidR="00EF426B" w:rsidRPr="00EF426B" w:rsidRDefault="00EF426B" w:rsidP="00EF426B">
      <w:pPr>
        <w:spacing w:before="120" w:after="120" w:line="360" w:lineRule="auto"/>
        <w:jc w:val="both"/>
        <w:rPr>
          <w:rFonts w:cstheme="minorHAnsi"/>
          <w:sz w:val="24"/>
          <w:szCs w:val="24"/>
        </w:rPr>
      </w:pPr>
      <w:r w:rsidRPr="00EF426B">
        <w:rPr>
          <w:rFonts w:cstheme="minorHAnsi"/>
          <w:sz w:val="24"/>
          <w:szCs w:val="24"/>
        </w:rPr>
        <w:t>Sobre a concessão do Reequilíbrio Econômico-financeiro, HELY LOPES MEIRELLES afirma que:</w:t>
      </w:r>
    </w:p>
    <w:p w14:paraId="01839438" w14:textId="77777777" w:rsidR="00EF426B" w:rsidRPr="00EF426B" w:rsidRDefault="00EF426B" w:rsidP="00EF426B">
      <w:pPr>
        <w:pStyle w:val="Default"/>
        <w:spacing w:before="120" w:after="120" w:line="360" w:lineRule="auto"/>
        <w:ind w:left="2268"/>
        <w:jc w:val="both"/>
        <w:rPr>
          <w:rFonts w:asciiTheme="minorHAnsi" w:hAnsiTheme="minorHAnsi" w:cstheme="minorHAnsi"/>
        </w:rPr>
      </w:pPr>
      <w:r w:rsidRPr="00EF426B">
        <w:rPr>
          <w:rFonts w:asciiTheme="minorHAnsi" w:hAnsiTheme="minorHAnsi" w:cstheme="minorHAnsi"/>
        </w:rPr>
        <w:t xml:space="preserve">“O equilíbrio financeiro ou equilíbrio econômico do contrato administrativo, também denominado equação econômica ou equação financeira é a relação que as partes estabelecem inicialmente no ajuste, entre os encargos do contratado e a retribuição da administração para a justa remuneração da obra, </w:t>
      </w:r>
      <w:r w:rsidRPr="00EF426B">
        <w:rPr>
          <w:rFonts w:asciiTheme="minorHAnsi" w:hAnsiTheme="minorHAnsi" w:cstheme="minorHAnsi"/>
        </w:rPr>
        <w:lastRenderedPageBreak/>
        <w:t xml:space="preserve">do serviço ou do fornecimento. Em última análise, é a correlação entre o objeto do contrato e a sua remuneração, originariamente prevista e fixada pelas partes em números absolutos ou em escala móvel. </w:t>
      </w:r>
      <w:r w:rsidRPr="00EF426B">
        <w:rPr>
          <w:rFonts w:asciiTheme="minorHAnsi" w:hAnsiTheme="minorHAnsi" w:cstheme="minorHAnsi"/>
          <w:b/>
          <w:bCs/>
        </w:rPr>
        <w:t xml:space="preserve">Essa correlação deve ser conservada durante toda a execução do contrato, </w:t>
      </w:r>
      <w:r w:rsidRPr="00EF426B">
        <w:rPr>
          <w:rFonts w:asciiTheme="minorHAnsi" w:hAnsiTheme="minorHAnsi" w:cstheme="minorHAnsi"/>
        </w:rPr>
        <w:t>mesmo que alteradas as cláusulas regulamentares da prestação ajustada, a fim de que se mantenha o equilíbrio econômico, ou por outras palavras a equação financeira do contrato</w:t>
      </w:r>
      <w:proofErr w:type="gramStart"/>
      <w:r w:rsidRPr="00EF426B">
        <w:rPr>
          <w:rFonts w:asciiTheme="minorHAnsi" w:hAnsiTheme="minorHAnsi" w:cstheme="minorHAnsi"/>
        </w:rPr>
        <w:t>. ”</w:t>
      </w:r>
      <w:proofErr w:type="gramEnd"/>
      <w:r w:rsidRPr="00EF426B">
        <w:rPr>
          <w:rFonts w:asciiTheme="minorHAnsi" w:hAnsiTheme="minorHAnsi" w:cstheme="minorHAnsi"/>
        </w:rPr>
        <w:t xml:space="preserve"> (In ob. Cit. Pag. 161 – grifos e destaque de transcrição). </w:t>
      </w:r>
    </w:p>
    <w:p w14:paraId="2FD9D3E1" w14:textId="77777777" w:rsidR="00EF426B" w:rsidRPr="00EF426B" w:rsidRDefault="00EF426B" w:rsidP="00EF426B">
      <w:pPr>
        <w:pStyle w:val="Default"/>
        <w:spacing w:before="120" w:after="120" w:line="360" w:lineRule="auto"/>
        <w:jc w:val="both"/>
        <w:rPr>
          <w:rFonts w:asciiTheme="minorHAnsi" w:hAnsiTheme="minorHAnsi" w:cstheme="minorHAnsi"/>
        </w:rPr>
      </w:pPr>
      <w:r w:rsidRPr="00EF426B">
        <w:rPr>
          <w:rFonts w:asciiTheme="minorHAnsi" w:hAnsiTheme="minorHAnsi" w:cstheme="minorHAnsi"/>
        </w:rPr>
        <w:t xml:space="preserve">Com efeito, diante do quadro fático ora apresentado, circunstâncias supervenientes e alheias a nossa vontade, salientamos que o atendimento/fornecimento dos produtos a este douto órgão, sem que haja um reajuste/ reequilíbrio de preço será totalmente prejudicial para nossa empresa. </w:t>
      </w:r>
    </w:p>
    <w:p w14:paraId="52A226AB" w14:textId="77777777" w:rsidR="00EF426B" w:rsidRPr="00EF426B" w:rsidRDefault="00EF426B" w:rsidP="00EF426B">
      <w:pPr>
        <w:pStyle w:val="Default"/>
        <w:spacing w:before="120" w:after="120" w:line="360" w:lineRule="auto"/>
        <w:jc w:val="both"/>
        <w:rPr>
          <w:rFonts w:asciiTheme="minorHAnsi" w:hAnsiTheme="minorHAnsi" w:cstheme="minorHAnsi"/>
        </w:rPr>
      </w:pPr>
      <w:r w:rsidRPr="00EF426B">
        <w:rPr>
          <w:rFonts w:asciiTheme="minorHAnsi" w:hAnsiTheme="minorHAnsi" w:cstheme="minorHAnsi"/>
        </w:rPr>
        <w:t xml:space="preserve">Com os últimos acontecimentos do mercado de papel, fica patente que, caso nossa empresa não consiga o reequilíbrio de preços os prejuízos serão inestimáveis podendo até mesmo decretar falência da empresa, pois teríamos que ou arcar com o compromisso firmado com o órgão, ou levaríamos multas e penalizações, ambas as escolhas se mostram prejudiciais à saúde financeira da empresa. </w:t>
      </w:r>
    </w:p>
    <w:p w14:paraId="31B261D9" w14:textId="77777777" w:rsidR="00EF426B" w:rsidRPr="00EF426B" w:rsidRDefault="00EF426B" w:rsidP="00EF426B">
      <w:pPr>
        <w:spacing w:before="120" w:after="120" w:line="360" w:lineRule="auto"/>
        <w:jc w:val="both"/>
        <w:rPr>
          <w:rFonts w:cstheme="minorHAnsi"/>
          <w:sz w:val="24"/>
          <w:szCs w:val="24"/>
        </w:rPr>
      </w:pPr>
      <w:r w:rsidRPr="00EF426B">
        <w:rPr>
          <w:rFonts w:cstheme="minorHAnsi"/>
          <w:sz w:val="24"/>
          <w:szCs w:val="24"/>
        </w:rPr>
        <w:t>Sabemos que a Administração Pública não tem o menor interesse em prejudicar as microempresas, estimulando até mesmo a participação dessas em licitações públicas para gerar um maior crescimento econômico. Nossa empresa como já dito não tem o controle dos aumentos dos papéis e se torna obrigada a comprar de apenas um fabricante, não restando outra possibilidade para cumprimento do contrato. Ademais, o aumento na ordem de 24,9% não diz respeito apenas ao fornecedor de papel de quem a empresa compra, mas sim de todos os grandes distribuidores e fabricantes de papel que dominam o mercado de papel do país.</w:t>
      </w:r>
    </w:p>
    <w:p w14:paraId="23609D65" w14:textId="77777777" w:rsidR="00EF426B" w:rsidRPr="00EF426B" w:rsidRDefault="00EF426B" w:rsidP="00EF426B">
      <w:pPr>
        <w:pStyle w:val="Default"/>
        <w:spacing w:before="120" w:after="120" w:line="360" w:lineRule="auto"/>
        <w:jc w:val="both"/>
        <w:rPr>
          <w:rFonts w:asciiTheme="minorHAnsi" w:hAnsiTheme="minorHAnsi" w:cstheme="minorHAnsi"/>
        </w:rPr>
      </w:pPr>
      <w:r w:rsidRPr="00EF426B">
        <w:rPr>
          <w:rFonts w:asciiTheme="minorHAnsi" w:hAnsiTheme="minorHAnsi" w:cstheme="minorHAnsi"/>
        </w:rPr>
        <w:t xml:space="preserve">A Requerida não tem o menor interesse de enriquecer às custas da Administração Pública, mas se preocupa com os prejuízos que este contrato pode trazer, visto que, com a ocorrência deste caso fortuito e força maior não poderá cumprir com o firmado em contrato, pois foram aumentos imprevisíveis, que não puderam ser evitados, mas que provocarão consequências graves para a empresa. </w:t>
      </w:r>
    </w:p>
    <w:p w14:paraId="4C83042E" w14:textId="77777777" w:rsidR="00EF426B" w:rsidRPr="00EF426B" w:rsidRDefault="00EF426B" w:rsidP="00EF426B">
      <w:pPr>
        <w:pStyle w:val="Default"/>
        <w:spacing w:before="120" w:after="120" w:line="360" w:lineRule="auto"/>
        <w:jc w:val="both"/>
        <w:rPr>
          <w:rFonts w:asciiTheme="minorHAnsi" w:hAnsiTheme="minorHAnsi" w:cstheme="minorHAnsi"/>
          <w:b/>
          <w:bCs/>
        </w:rPr>
      </w:pPr>
      <w:r w:rsidRPr="00EF426B">
        <w:rPr>
          <w:rFonts w:asciiTheme="minorHAnsi" w:hAnsiTheme="minorHAnsi" w:cstheme="minorHAnsi"/>
          <w:b/>
          <w:bCs/>
        </w:rPr>
        <w:lastRenderedPageBreak/>
        <w:t xml:space="preserve">DO PEDIDO </w:t>
      </w:r>
    </w:p>
    <w:p w14:paraId="59444668" w14:textId="3837CD87" w:rsidR="00EF426B" w:rsidRPr="00EF426B" w:rsidRDefault="00EF426B" w:rsidP="00EF426B">
      <w:pPr>
        <w:pStyle w:val="Default"/>
        <w:spacing w:before="120" w:after="120" w:line="360" w:lineRule="auto"/>
        <w:jc w:val="both"/>
        <w:rPr>
          <w:rFonts w:asciiTheme="minorHAnsi" w:hAnsiTheme="minorHAnsi" w:cstheme="minorHAnsi"/>
        </w:rPr>
      </w:pPr>
      <w:r w:rsidRPr="00EF426B">
        <w:rPr>
          <w:rFonts w:asciiTheme="minorHAnsi" w:hAnsiTheme="minorHAnsi" w:cstheme="minorHAnsi"/>
        </w:rPr>
        <w:t xml:space="preserve">Assim, solicitamos, </w:t>
      </w:r>
      <w:r w:rsidR="00D33F07">
        <w:rPr>
          <w:rFonts w:asciiTheme="minorHAnsi" w:hAnsiTheme="minorHAnsi" w:cstheme="minorHAnsi"/>
        </w:rPr>
        <w:t xml:space="preserve">a revisão </w:t>
      </w:r>
      <w:r w:rsidRPr="00EF426B">
        <w:rPr>
          <w:rFonts w:asciiTheme="minorHAnsi" w:hAnsiTheme="minorHAnsi" w:cstheme="minorHAnsi"/>
        </w:rPr>
        <w:t xml:space="preserve">do valor da caixa de papel A4 branco para R$ </w:t>
      </w:r>
      <w:proofErr w:type="gramStart"/>
      <w:r w:rsidR="00D33F07">
        <w:rPr>
          <w:rFonts w:asciiTheme="minorHAnsi" w:hAnsiTheme="minorHAnsi" w:cstheme="minorHAnsi"/>
        </w:rPr>
        <w:t>XXX,XX</w:t>
      </w:r>
      <w:proofErr w:type="gramEnd"/>
      <w:r w:rsidRPr="00EF426B">
        <w:rPr>
          <w:rFonts w:asciiTheme="minorHAnsi" w:hAnsiTheme="minorHAnsi" w:cstheme="minorHAnsi"/>
        </w:rPr>
        <w:t>(</w:t>
      </w:r>
      <w:r w:rsidR="00D33F07">
        <w:rPr>
          <w:rFonts w:asciiTheme="minorHAnsi" w:hAnsiTheme="minorHAnsi" w:cstheme="minorHAnsi"/>
        </w:rPr>
        <w:t>VALOR POR EXTENSO</w:t>
      </w:r>
      <w:r w:rsidRPr="00EF426B">
        <w:rPr>
          <w:rFonts w:asciiTheme="minorHAnsi" w:hAnsiTheme="minorHAnsi" w:cstheme="minorHAnsi"/>
        </w:rPr>
        <w:t xml:space="preserve">) e o reajuste da caixa de papel reciclado para R$ </w:t>
      </w:r>
      <w:r w:rsidR="00D33F07">
        <w:rPr>
          <w:rFonts w:asciiTheme="minorHAnsi" w:hAnsiTheme="minorHAnsi" w:cstheme="minorHAnsi"/>
        </w:rPr>
        <w:t>XXX,XX</w:t>
      </w:r>
      <w:r w:rsidRPr="00EF426B">
        <w:rPr>
          <w:rFonts w:asciiTheme="minorHAnsi" w:hAnsiTheme="minorHAnsi" w:cstheme="minorHAnsi"/>
        </w:rPr>
        <w:t>(</w:t>
      </w:r>
      <w:r w:rsidR="00D33F07">
        <w:rPr>
          <w:rFonts w:asciiTheme="minorHAnsi" w:hAnsiTheme="minorHAnsi" w:cstheme="minorHAnsi"/>
        </w:rPr>
        <w:t>VALOR POR EXTENSO</w:t>
      </w:r>
      <w:r w:rsidRPr="00EF426B">
        <w:rPr>
          <w:rFonts w:asciiTheme="minorHAnsi" w:hAnsiTheme="minorHAnsi" w:cstheme="minorHAnsi"/>
        </w:rPr>
        <w:t xml:space="preserve">). Caso não seja possível o reajuste de Preços solicitados, pedimos encarecidamente que a </w:t>
      </w:r>
      <w:r w:rsidR="00D33F07">
        <w:rPr>
          <w:rFonts w:asciiTheme="minorHAnsi" w:hAnsiTheme="minorHAnsi" w:cstheme="minorHAnsi"/>
        </w:rPr>
        <w:t>NOME DA EMPRESA</w:t>
      </w:r>
      <w:r w:rsidRPr="00EF426B">
        <w:rPr>
          <w:rFonts w:asciiTheme="minorHAnsi" w:hAnsiTheme="minorHAnsi" w:cstheme="minorHAnsi"/>
        </w:rPr>
        <w:t xml:space="preserve">, seja liberada do compromisso assumido com V.Sas., e que nenhuma penalidade lhes seja imputada. Por oportuno solicitamos, também, que a decisão tomada pelo órgão gerenciador da ATA seja informada e tenha validade para todos os órgãos participantes. </w:t>
      </w:r>
    </w:p>
    <w:p w14:paraId="2B4DDAA0" w14:textId="77777777" w:rsidR="00EF426B" w:rsidRPr="00EF426B" w:rsidRDefault="00EF426B" w:rsidP="00EF426B">
      <w:pPr>
        <w:pStyle w:val="Default"/>
        <w:spacing w:before="120" w:after="120" w:line="360" w:lineRule="auto"/>
        <w:jc w:val="both"/>
        <w:rPr>
          <w:rFonts w:asciiTheme="minorHAnsi" w:hAnsiTheme="minorHAnsi" w:cstheme="minorHAnsi"/>
        </w:rPr>
      </w:pPr>
    </w:p>
    <w:p w14:paraId="64C8F39B" w14:textId="77777777" w:rsidR="00EF426B" w:rsidRPr="00EF426B" w:rsidRDefault="00EF426B" w:rsidP="00EF426B">
      <w:pPr>
        <w:pStyle w:val="Default"/>
        <w:spacing w:before="120" w:after="120" w:line="360" w:lineRule="auto"/>
        <w:jc w:val="both"/>
        <w:rPr>
          <w:rFonts w:asciiTheme="minorHAnsi" w:hAnsiTheme="minorHAnsi" w:cstheme="minorHAnsi"/>
        </w:rPr>
      </w:pPr>
      <w:r w:rsidRPr="00EF426B">
        <w:rPr>
          <w:rFonts w:asciiTheme="minorHAnsi" w:hAnsiTheme="minorHAnsi" w:cstheme="minorHAnsi"/>
        </w:rPr>
        <w:t xml:space="preserve">Nestes termos, </w:t>
      </w:r>
    </w:p>
    <w:p w14:paraId="0C366617" w14:textId="77777777" w:rsidR="00EF426B" w:rsidRPr="00EF426B" w:rsidRDefault="00EF426B" w:rsidP="00EF426B">
      <w:pPr>
        <w:pStyle w:val="Default"/>
        <w:spacing w:before="120" w:after="120" w:line="360" w:lineRule="auto"/>
        <w:jc w:val="both"/>
        <w:rPr>
          <w:rFonts w:asciiTheme="minorHAnsi" w:hAnsiTheme="minorHAnsi" w:cstheme="minorHAnsi"/>
        </w:rPr>
      </w:pPr>
      <w:r w:rsidRPr="00EF426B">
        <w:rPr>
          <w:rFonts w:asciiTheme="minorHAnsi" w:hAnsiTheme="minorHAnsi" w:cstheme="minorHAnsi"/>
        </w:rPr>
        <w:t xml:space="preserve">Pede e aguarda deferimento. </w:t>
      </w:r>
    </w:p>
    <w:p w14:paraId="1DF73F99" w14:textId="77777777" w:rsidR="00EF426B" w:rsidRPr="00EF426B" w:rsidRDefault="00EF426B" w:rsidP="00EF426B">
      <w:pPr>
        <w:pStyle w:val="Default"/>
        <w:spacing w:before="120" w:after="120" w:line="360" w:lineRule="auto"/>
        <w:jc w:val="both"/>
        <w:rPr>
          <w:rFonts w:asciiTheme="minorHAnsi" w:hAnsiTheme="minorHAnsi" w:cstheme="minorHAnsi"/>
        </w:rPr>
      </w:pPr>
    </w:p>
    <w:p w14:paraId="314F8FBF" w14:textId="77777777" w:rsidR="00EF426B" w:rsidRPr="00EF426B" w:rsidRDefault="00EF426B" w:rsidP="00EF426B">
      <w:pPr>
        <w:pStyle w:val="Default"/>
        <w:spacing w:before="120" w:after="120" w:line="360" w:lineRule="auto"/>
        <w:rPr>
          <w:rFonts w:asciiTheme="minorHAnsi" w:hAnsiTheme="minorHAnsi" w:cstheme="minorHAnsi"/>
        </w:rPr>
      </w:pPr>
      <w:r w:rsidRPr="00EF426B">
        <w:rPr>
          <w:rFonts w:asciiTheme="minorHAnsi" w:hAnsiTheme="minorHAnsi" w:cstheme="minorHAnsi"/>
        </w:rPr>
        <w:t xml:space="preserve">_______________________________________ </w:t>
      </w:r>
    </w:p>
    <w:p w14:paraId="544A70F2" w14:textId="4D5A5FAB" w:rsidR="00EF426B" w:rsidRPr="00EF426B" w:rsidRDefault="00D33F07" w:rsidP="00EF426B">
      <w:pPr>
        <w:pStyle w:val="Default"/>
        <w:rPr>
          <w:rFonts w:asciiTheme="minorHAnsi" w:hAnsiTheme="minorHAnsi" w:cstheme="minorHAnsi"/>
        </w:rPr>
      </w:pPr>
      <w:r>
        <w:rPr>
          <w:rFonts w:asciiTheme="minorHAnsi" w:hAnsiTheme="minorHAnsi" w:cstheme="minorHAnsi"/>
        </w:rPr>
        <w:t>NOME DO REPRESENTANTE LEGAL</w:t>
      </w:r>
    </w:p>
    <w:p w14:paraId="46DBD698" w14:textId="26A5E31A" w:rsidR="00EF426B" w:rsidRPr="00EF426B" w:rsidRDefault="00D33F07" w:rsidP="00EF426B">
      <w:pPr>
        <w:pStyle w:val="Default"/>
        <w:rPr>
          <w:rFonts w:asciiTheme="minorHAnsi" w:hAnsiTheme="minorHAnsi" w:cstheme="minorHAnsi"/>
        </w:rPr>
      </w:pPr>
      <w:r>
        <w:rPr>
          <w:rFonts w:asciiTheme="minorHAnsi" w:hAnsiTheme="minorHAnsi" w:cstheme="minorHAnsi"/>
        </w:rPr>
        <w:t>CARGO</w:t>
      </w:r>
      <w:r w:rsidR="00EF426B" w:rsidRPr="00EF426B">
        <w:rPr>
          <w:rFonts w:asciiTheme="minorHAnsi" w:hAnsiTheme="minorHAnsi" w:cstheme="minorHAnsi"/>
        </w:rPr>
        <w:t xml:space="preserve"> </w:t>
      </w:r>
    </w:p>
    <w:p w14:paraId="7AC46785" w14:textId="450616AA" w:rsidR="00EF426B" w:rsidRPr="00EF426B" w:rsidRDefault="00EF426B" w:rsidP="00EF426B">
      <w:pPr>
        <w:pStyle w:val="Default"/>
        <w:rPr>
          <w:rFonts w:asciiTheme="minorHAnsi" w:hAnsiTheme="minorHAnsi" w:cstheme="minorHAnsi"/>
        </w:rPr>
      </w:pPr>
      <w:proofErr w:type="spellStart"/>
      <w:r w:rsidRPr="00EF426B">
        <w:rPr>
          <w:rFonts w:asciiTheme="minorHAnsi" w:hAnsiTheme="minorHAnsi" w:cstheme="minorHAnsi"/>
        </w:rPr>
        <w:t>Tel</w:t>
      </w:r>
      <w:proofErr w:type="spellEnd"/>
      <w:r w:rsidRPr="00EF426B">
        <w:rPr>
          <w:rFonts w:asciiTheme="minorHAnsi" w:hAnsiTheme="minorHAnsi" w:cstheme="minorHAnsi"/>
        </w:rPr>
        <w:t xml:space="preserve">: </w:t>
      </w:r>
    </w:p>
    <w:p w14:paraId="5BC46582" w14:textId="15A056C5" w:rsidR="00EF426B" w:rsidRPr="00EF426B" w:rsidRDefault="00EF426B" w:rsidP="00EF426B">
      <w:pPr>
        <w:pStyle w:val="Default"/>
        <w:rPr>
          <w:rFonts w:asciiTheme="minorHAnsi" w:hAnsiTheme="minorHAnsi" w:cstheme="minorHAnsi"/>
        </w:rPr>
      </w:pPr>
      <w:r w:rsidRPr="00EF426B">
        <w:rPr>
          <w:rFonts w:asciiTheme="minorHAnsi" w:hAnsiTheme="minorHAnsi" w:cstheme="minorHAnsi"/>
        </w:rPr>
        <w:t xml:space="preserve">E-mail: </w:t>
      </w:r>
    </w:p>
    <w:p w14:paraId="18770060" w14:textId="10608E8E" w:rsidR="00EF426B" w:rsidRPr="00EF426B" w:rsidRDefault="00D33F07" w:rsidP="00EF426B">
      <w:pPr>
        <w:pStyle w:val="Default"/>
        <w:rPr>
          <w:rFonts w:asciiTheme="minorHAnsi" w:hAnsiTheme="minorHAnsi" w:cstheme="minorHAnsi"/>
        </w:rPr>
      </w:pPr>
      <w:r>
        <w:rPr>
          <w:rFonts w:asciiTheme="minorHAnsi" w:hAnsiTheme="minorHAnsi" w:cstheme="minorHAnsi"/>
        </w:rPr>
        <w:t>NOME DA EMPRESA</w:t>
      </w:r>
    </w:p>
    <w:p w14:paraId="285615AE" w14:textId="1AB04912" w:rsidR="00EF426B" w:rsidRDefault="00EF426B" w:rsidP="00EF426B">
      <w:pPr>
        <w:spacing w:after="0" w:line="240" w:lineRule="auto"/>
        <w:jc w:val="both"/>
        <w:rPr>
          <w:rFonts w:cstheme="minorHAnsi"/>
          <w:sz w:val="24"/>
          <w:szCs w:val="24"/>
        </w:rPr>
      </w:pPr>
      <w:r w:rsidRPr="00EF426B">
        <w:rPr>
          <w:rFonts w:cstheme="minorHAnsi"/>
          <w:sz w:val="24"/>
          <w:szCs w:val="24"/>
        </w:rPr>
        <w:t xml:space="preserve">CNPJ – </w:t>
      </w:r>
    </w:p>
    <w:p w14:paraId="77EFF341" w14:textId="4B53FBE6" w:rsidR="00D33F07" w:rsidRDefault="00D33F07" w:rsidP="00EF426B">
      <w:pPr>
        <w:spacing w:after="0" w:line="240" w:lineRule="auto"/>
        <w:jc w:val="both"/>
        <w:rPr>
          <w:rFonts w:cstheme="minorHAnsi"/>
          <w:sz w:val="24"/>
          <w:szCs w:val="24"/>
        </w:rPr>
      </w:pPr>
    </w:p>
    <w:p w14:paraId="6FF386FC" w14:textId="77777777" w:rsidR="00D33F07" w:rsidRPr="00EF426B" w:rsidRDefault="00D33F07" w:rsidP="00EF426B">
      <w:pPr>
        <w:spacing w:after="0" w:line="240" w:lineRule="auto"/>
        <w:jc w:val="both"/>
        <w:rPr>
          <w:rFonts w:cstheme="minorHAnsi"/>
          <w:sz w:val="24"/>
          <w:szCs w:val="24"/>
        </w:rPr>
      </w:pPr>
    </w:p>
    <w:sectPr w:rsidR="00D33F07" w:rsidRPr="00EF426B">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61F126" w14:textId="77777777" w:rsidR="0006226D" w:rsidRDefault="0006226D" w:rsidP="00EF426B">
      <w:pPr>
        <w:spacing w:after="0" w:line="240" w:lineRule="auto"/>
      </w:pPr>
      <w:r>
        <w:separator/>
      </w:r>
    </w:p>
  </w:endnote>
  <w:endnote w:type="continuationSeparator" w:id="0">
    <w:p w14:paraId="154734F7" w14:textId="77777777" w:rsidR="0006226D" w:rsidRDefault="0006226D" w:rsidP="00EF42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7A9A9A" w14:textId="77777777" w:rsidR="0006226D" w:rsidRDefault="0006226D" w:rsidP="00EF426B">
      <w:pPr>
        <w:spacing w:after="0" w:line="240" w:lineRule="auto"/>
      </w:pPr>
      <w:r>
        <w:separator/>
      </w:r>
    </w:p>
  </w:footnote>
  <w:footnote w:type="continuationSeparator" w:id="0">
    <w:p w14:paraId="660D0029" w14:textId="77777777" w:rsidR="0006226D" w:rsidRDefault="0006226D" w:rsidP="00EF426B">
      <w:pPr>
        <w:spacing w:after="0" w:line="240" w:lineRule="auto"/>
      </w:pPr>
      <w:r>
        <w:continuationSeparator/>
      </w:r>
    </w:p>
  </w:footnote>
  <w:footnote w:id="1">
    <w:p w14:paraId="59CBC2B2" w14:textId="77777777" w:rsidR="00EF426B" w:rsidRDefault="00EF426B" w:rsidP="00EF426B">
      <w:pPr>
        <w:pStyle w:val="Textodenotaderodap"/>
        <w:jc w:val="both"/>
      </w:pPr>
      <w:r>
        <w:rPr>
          <w:rStyle w:val="Refdenotaderodap"/>
        </w:rPr>
        <w:footnoteRef/>
      </w:r>
      <w:r>
        <w:t xml:space="preserve"> </w:t>
      </w:r>
      <w:r w:rsidRPr="00EF426B">
        <w:t xml:space="preserve">Art. 65. Os contratos regidos por esta Lei poderão ser alterados, com as devidas justificativas, nos seguintes casos: </w:t>
      </w:r>
    </w:p>
    <w:p w14:paraId="78F90080" w14:textId="77777777" w:rsidR="00EF426B" w:rsidRDefault="00EF426B" w:rsidP="00EF426B">
      <w:pPr>
        <w:pStyle w:val="Textodenotaderodap"/>
        <w:jc w:val="both"/>
      </w:pPr>
      <w:r w:rsidRPr="00EF426B">
        <w:t xml:space="preserve">II - por acordo das partes: </w:t>
      </w:r>
    </w:p>
    <w:p w14:paraId="0395268A" w14:textId="77777777" w:rsidR="00EF426B" w:rsidRDefault="00EF426B" w:rsidP="00EF426B">
      <w:pPr>
        <w:pStyle w:val="Textodenotaderodap"/>
        <w:jc w:val="both"/>
      </w:pPr>
      <w:r w:rsidRPr="00EF426B">
        <w:t>d) para restabelecer a relação que as partes pactuaram inicialmente entre os encargos do contratado e a retribuição da administração para a justa remuneração da obra, serviço ou fornecimento, objetivando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footnote>
  <w:footnote w:id="2">
    <w:p w14:paraId="0BF42F50" w14:textId="77777777" w:rsidR="00EF426B" w:rsidRDefault="00EF426B">
      <w:pPr>
        <w:pStyle w:val="Textodenotaderodap"/>
      </w:pPr>
      <w:r>
        <w:rPr>
          <w:rStyle w:val="Refdenotaderodap"/>
        </w:rPr>
        <w:footnoteRef/>
      </w:r>
      <w:r>
        <w:t xml:space="preserve"> </w:t>
      </w:r>
      <w:r w:rsidRPr="00EF426B">
        <w:t>Orientação Normativa da AGU nº 22, de 1º de Abril de 2009.</w:t>
      </w:r>
    </w:p>
  </w:footnote>
  <w:footnote w:id="3">
    <w:p w14:paraId="31C7C5DD" w14:textId="77777777" w:rsidR="00EF426B" w:rsidRDefault="00EF426B">
      <w:pPr>
        <w:pStyle w:val="Textodenotaderodap"/>
      </w:pPr>
      <w:r>
        <w:rPr>
          <w:rStyle w:val="Refdenotaderodap"/>
        </w:rPr>
        <w:footnoteRef/>
      </w:r>
      <w:r>
        <w:t xml:space="preserve"> </w:t>
      </w:r>
      <w:r w:rsidRPr="00EF426B">
        <w:t>Acordão n 313/2002 – Plenário (DOU, 09 set. 2002): (reequilíbrio econômico-financeiro do contrato ainda que contrário a cláusula do edital)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72F967" w14:textId="285E3004" w:rsidR="00E566FC" w:rsidRDefault="008A1A35">
    <w:pPr>
      <w:pStyle w:val="Cabealho"/>
    </w:pPr>
    <w:r>
      <w:rPr>
        <w:rFonts w:cstheme="minorHAnsi"/>
        <w:b/>
        <w:bCs/>
        <w:noProof/>
        <w:sz w:val="24"/>
        <w:szCs w:val="24"/>
        <w:u w:val="single"/>
      </w:rPr>
      <w:drawing>
        <wp:anchor distT="0" distB="0" distL="114300" distR="114300" simplePos="0" relativeHeight="251658240" behindDoc="0" locked="0" layoutInCell="1" allowOverlap="1" wp14:anchorId="33E2F3D2" wp14:editId="5B996FAD">
          <wp:simplePos x="0" y="0"/>
          <wp:positionH relativeFrom="column">
            <wp:posOffset>5111115</wp:posOffset>
          </wp:positionH>
          <wp:positionV relativeFrom="paragraph">
            <wp:posOffset>-230504</wp:posOffset>
          </wp:positionV>
          <wp:extent cx="1066736" cy="599332"/>
          <wp:effectExtent l="0" t="0" r="635"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9210" cy="6063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137"/>
    <w:rsid w:val="0006226D"/>
    <w:rsid w:val="005D1B66"/>
    <w:rsid w:val="005F6A73"/>
    <w:rsid w:val="008A1A35"/>
    <w:rsid w:val="008D44F6"/>
    <w:rsid w:val="00AC6794"/>
    <w:rsid w:val="00B02137"/>
    <w:rsid w:val="00BE7FA8"/>
    <w:rsid w:val="00BF77D3"/>
    <w:rsid w:val="00D33F07"/>
    <w:rsid w:val="00E566FC"/>
    <w:rsid w:val="00EF426B"/>
    <w:rsid w:val="00F27D6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D39394"/>
  <w15:chartTrackingRefBased/>
  <w15:docId w15:val="{A927E5A5-5557-4C8A-A2FE-9F94BDCFA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B02137"/>
    <w:rPr>
      <w:sz w:val="16"/>
      <w:szCs w:val="16"/>
    </w:rPr>
  </w:style>
  <w:style w:type="paragraph" w:styleId="Textodecomentrio">
    <w:name w:val="annotation text"/>
    <w:basedOn w:val="Normal"/>
    <w:link w:val="TextodecomentrioChar"/>
    <w:uiPriority w:val="99"/>
    <w:semiHidden/>
    <w:unhideWhenUsed/>
    <w:rsid w:val="00B02137"/>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B02137"/>
    <w:rPr>
      <w:sz w:val="20"/>
      <w:szCs w:val="20"/>
    </w:rPr>
  </w:style>
  <w:style w:type="paragraph" w:styleId="Assuntodocomentrio">
    <w:name w:val="annotation subject"/>
    <w:basedOn w:val="Textodecomentrio"/>
    <w:next w:val="Textodecomentrio"/>
    <w:link w:val="AssuntodocomentrioChar"/>
    <w:uiPriority w:val="99"/>
    <w:semiHidden/>
    <w:unhideWhenUsed/>
    <w:rsid w:val="00B02137"/>
    <w:rPr>
      <w:b/>
      <w:bCs/>
    </w:rPr>
  </w:style>
  <w:style w:type="character" w:customStyle="1" w:styleId="AssuntodocomentrioChar">
    <w:name w:val="Assunto do comentário Char"/>
    <w:basedOn w:val="TextodecomentrioChar"/>
    <w:link w:val="Assuntodocomentrio"/>
    <w:uiPriority w:val="99"/>
    <w:semiHidden/>
    <w:rsid w:val="00B02137"/>
    <w:rPr>
      <w:b/>
      <w:bCs/>
      <w:sz w:val="20"/>
      <w:szCs w:val="20"/>
    </w:rPr>
  </w:style>
  <w:style w:type="paragraph" w:styleId="Textodebalo">
    <w:name w:val="Balloon Text"/>
    <w:basedOn w:val="Normal"/>
    <w:link w:val="TextodebaloChar"/>
    <w:uiPriority w:val="99"/>
    <w:semiHidden/>
    <w:unhideWhenUsed/>
    <w:rsid w:val="00B0213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02137"/>
    <w:rPr>
      <w:rFonts w:ascii="Segoe UI" w:hAnsi="Segoe UI" w:cs="Segoe UI"/>
      <w:sz w:val="18"/>
      <w:szCs w:val="18"/>
    </w:rPr>
  </w:style>
  <w:style w:type="paragraph" w:styleId="Textodenotaderodap">
    <w:name w:val="footnote text"/>
    <w:basedOn w:val="Normal"/>
    <w:link w:val="TextodenotaderodapChar"/>
    <w:uiPriority w:val="99"/>
    <w:semiHidden/>
    <w:unhideWhenUsed/>
    <w:rsid w:val="00EF426B"/>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F426B"/>
    <w:rPr>
      <w:sz w:val="20"/>
      <w:szCs w:val="20"/>
    </w:rPr>
  </w:style>
  <w:style w:type="character" w:styleId="Refdenotaderodap">
    <w:name w:val="footnote reference"/>
    <w:basedOn w:val="Fontepargpadro"/>
    <w:uiPriority w:val="99"/>
    <w:semiHidden/>
    <w:unhideWhenUsed/>
    <w:rsid w:val="00EF426B"/>
    <w:rPr>
      <w:vertAlign w:val="superscript"/>
    </w:rPr>
  </w:style>
  <w:style w:type="paragraph" w:customStyle="1" w:styleId="Default">
    <w:name w:val="Default"/>
    <w:rsid w:val="00EF426B"/>
    <w:pPr>
      <w:autoSpaceDE w:val="0"/>
      <w:autoSpaceDN w:val="0"/>
      <w:adjustRightInd w:val="0"/>
      <w:spacing w:after="0" w:line="240" w:lineRule="auto"/>
    </w:pPr>
    <w:rPr>
      <w:rFonts w:ascii="Times New Roman" w:hAnsi="Times New Roman" w:cs="Times New Roman"/>
      <w:color w:val="000000"/>
      <w:sz w:val="24"/>
      <w:szCs w:val="24"/>
    </w:rPr>
  </w:style>
  <w:style w:type="paragraph" w:styleId="Cabealho">
    <w:name w:val="header"/>
    <w:basedOn w:val="Normal"/>
    <w:link w:val="CabealhoChar"/>
    <w:uiPriority w:val="99"/>
    <w:unhideWhenUsed/>
    <w:rsid w:val="00E566F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566FC"/>
  </w:style>
  <w:style w:type="paragraph" w:styleId="Rodap">
    <w:name w:val="footer"/>
    <w:basedOn w:val="Normal"/>
    <w:link w:val="RodapChar"/>
    <w:uiPriority w:val="99"/>
    <w:unhideWhenUsed/>
    <w:rsid w:val="00E566FC"/>
    <w:pPr>
      <w:tabs>
        <w:tab w:val="center" w:pos="4252"/>
        <w:tab w:val="right" w:pos="8504"/>
      </w:tabs>
      <w:spacing w:after="0" w:line="240" w:lineRule="auto"/>
    </w:pPr>
  </w:style>
  <w:style w:type="character" w:customStyle="1" w:styleId="RodapChar">
    <w:name w:val="Rodapé Char"/>
    <w:basedOn w:val="Fontepargpadro"/>
    <w:link w:val="Rodap"/>
    <w:uiPriority w:val="99"/>
    <w:rsid w:val="00E566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CEDC15-6C58-4D46-95D8-EFECB57CE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1596</Words>
  <Characters>8621</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Jacy dos Anjos Almeida</dc:creator>
  <cp:keywords/>
  <dc:description/>
  <cp:lastModifiedBy>user</cp:lastModifiedBy>
  <cp:revision>4</cp:revision>
  <dcterms:created xsi:type="dcterms:W3CDTF">2020-04-15T21:51:00Z</dcterms:created>
  <dcterms:modified xsi:type="dcterms:W3CDTF">2020-10-01T20:16:00Z</dcterms:modified>
</cp:coreProperties>
</file>