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2B8B" w:rsidRPr="00A31A04" w:rsidRDefault="00C52B8B" w:rsidP="00D1377D">
      <w:pPr>
        <w:spacing w:line="240" w:lineRule="auto"/>
        <w:jc w:val="both"/>
        <w:rPr>
          <w:rFonts w:ascii="Arial" w:hAnsi="Arial" w:cs="Arial"/>
        </w:rPr>
      </w:pPr>
      <w:r w:rsidRPr="00A31A04">
        <w:rPr>
          <w:rStyle w:val="Forte"/>
          <w:rFonts w:ascii="Arial" w:hAnsi="Arial" w:cs="Arial"/>
        </w:rPr>
        <w:t xml:space="preserve">EXCELENTÍSSIMO SENHOR DOUTOR </w:t>
      </w:r>
      <w:r w:rsidR="0084596C">
        <w:rPr>
          <w:rStyle w:val="Forte"/>
          <w:rFonts w:ascii="Arial" w:hAnsi="Arial" w:cs="Arial"/>
        </w:rPr>
        <w:t>PRESIDENTE DO</w:t>
      </w:r>
      <w:r>
        <w:rPr>
          <w:rStyle w:val="Forte"/>
          <w:rFonts w:ascii="Arial" w:hAnsi="Arial" w:cs="Arial"/>
        </w:rPr>
        <w:t xml:space="preserve"> TRIBUNAL REGIONAL FEDERAL DA PRIMEIRA REGIÃO</w:t>
      </w:r>
    </w:p>
    <w:p w:rsidR="00C52B8B" w:rsidRPr="00A31A04" w:rsidRDefault="00C52B8B" w:rsidP="00C52B8B">
      <w:pPr>
        <w:pStyle w:val="Normal1"/>
        <w:spacing w:line="100" w:lineRule="atLeast"/>
        <w:ind w:left="1134"/>
        <w:jc w:val="center"/>
        <w:rPr>
          <w:rFonts w:ascii="Arial" w:hAnsi="Arial" w:cs="Arial"/>
          <w:color w:val="000000"/>
        </w:rPr>
      </w:pPr>
    </w:p>
    <w:p w:rsidR="00C52B8B" w:rsidRPr="00A31A04" w:rsidRDefault="00C52B8B" w:rsidP="00C52B8B">
      <w:pPr>
        <w:pStyle w:val="Normal1"/>
        <w:spacing w:line="100" w:lineRule="atLeast"/>
        <w:ind w:left="142"/>
        <w:jc w:val="both"/>
        <w:rPr>
          <w:rFonts w:ascii="Arial" w:hAnsi="Arial" w:cs="Arial"/>
          <w:color w:val="000000"/>
        </w:rPr>
      </w:pPr>
      <w:r w:rsidRPr="00B70B9C">
        <w:rPr>
          <w:rFonts w:ascii="Arial" w:hAnsi="Arial" w:cs="Arial"/>
          <w:b/>
          <w:color w:val="000000"/>
        </w:rPr>
        <w:t>Processo de origem</w:t>
      </w:r>
      <w:r w:rsidR="00D1377D">
        <w:rPr>
          <w:rFonts w:ascii="Arial" w:hAnsi="Arial" w:cs="Arial"/>
          <w:b/>
          <w:color w:val="000000"/>
        </w:rPr>
        <w:t xml:space="preserve"> </w:t>
      </w:r>
      <w:r w:rsidR="00F94385">
        <w:rPr>
          <w:rFonts w:ascii="Arial" w:hAnsi="Arial" w:cs="Arial"/>
          <w:b/>
          <w:color w:val="000000"/>
        </w:rPr>
        <w:t>(causa</w:t>
      </w:r>
      <w:r w:rsidR="00D1377D">
        <w:rPr>
          <w:rFonts w:ascii="Arial" w:hAnsi="Arial" w:cs="Arial"/>
          <w:b/>
          <w:color w:val="000000"/>
        </w:rPr>
        <w:t xml:space="preserve"> –piloto)</w:t>
      </w:r>
      <w:r w:rsidRPr="00B70B9C">
        <w:rPr>
          <w:rFonts w:ascii="Arial" w:hAnsi="Arial" w:cs="Arial"/>
          <w:b/>
          <w:color w:val="000000"/>
        </w:rPr>
        <w:t>:</w:t>
      </w:r>
      <w:r>
        <w:rPr>
          <w:rFonts w:ascii="Arial" w:hAnsi="Arial" w:cs="Arial"/>
          <w:color w:val="000000"/>
        </w:rPr>
        <w:t xml:space="preserve"> </w:t>
      </w:r>
      <w:r w:rsidR="00D1377D">
        <w:rPr>
          <w:rFonts w:ascii="Arial" w:hAnsi="Arial" w:cs="Arial"/>
          <w:color w:val="000000"/>
        </w:rPr>
        <w:t>_________________________</w:t>
      </w:r>
    </w:p>
    <w:p w:rsidR="00C52B8B" w:rsidRPr="00A31A04" w:rsidRDefault="00C52B8B" w:rsidP="00C52B8B">
      <w:pPr>
        <w:pStyle w:val="Normal1"/>
        <w:spacing w:line="100" w:lineRule="atLeast"/>
        <w:ind w:left="142"/>
        <w:jc w:val="both"/>
        <w:rPr>
          <w:rFonts w:ascii="Arial" w:hAnsi="Arial" w:cs="Arial"/>
          <w:color w:val="000000"/>
        </w:rPr>
      </w:pPr>
    </w:p>
    <w:p w:rsidR="00C52B8B" w:rsidRPr="00A31A04" w:rsidRDefault="00C52B8B" w:rsidP="00C52B8B">
      <w:pPr>
        <w:pStyle w:val="Normal1"/>
        <w:spacing w:line="100" w:lineRule="atLeast"/>
        <w:ind w:left="2268"/>
        <w:jc w:val="both"/>
        <w:rPr>
          <w:rFonts w:ascii="Arial" w:hAnsi="Arial" w:cs="Arial"/>
          <w:color w:val="000000"/>
        </w:rPr>
      </w:pPr>
    </w:p>
    <w:p w:rsidR="009B5416" w:rsidRDefault="00C52B8B" w:rsidP="000C751F">
      <w:pPr>
        <w:jc w:val="both"/>
        <w:rPr>
          <w:rFonts w:ascii="Arial" w:eastAsia="Luxi Sans" w:hAnsi="Arial" w:cs="Arial"/>
        </w:rPr>
      </w:pPr>
      <w:r>
        <w:rPr>
          <w:rFonts w:ascii="Arial" w:eastAsia="Bitstream Charter" w:hAnsi="Arial" w:cs="Arial"/>
          <w:b/>
          <w:bCs/>
          <w:color w:val="000000"/>
        </w:rPr>
        <w:t xml:space="preserve">       </w:t>
      </w:r>
      <w:r w:rsidR="000C751F">
        <w:rPr>
          <w:rFonts w:ascii="Arial" w:eastAsia="Bitstream Charter" w:hAnsi="Arial" w:cs="Arial"/>
          <w:b/>
          <w:bCs/>
          <w:color w:val="000000"/>
        </w:rPr>
        <w:t xml:space="preserve">          </w:t>
      </w:r>
      <w:r w:rsidR="00D1377D">
        <w:rPr>
          <w:rFonts w:ascii="Arial" w:eastAsia="Bitstream Charter" w:hAnsi="Arial" w:cs="Arial"/>
          <w:b/>
          <w:bCs/>
          <w:color w:val="000000"/>
        </w:rPr>
        <w:t>XXXXXXXXXXXXX</w:t>
      </w:r>
      <w:r w:rsidRPr="00A31A04">
        <w:rPr>
          <w:rFonts w:ascii="Arial" w:eastAsia="Luxi Sans" w:hAnsi="Arial" w:cs="Arial"/>
        </w:rPr>
        <w:t xml:space="preserve">, </w:t>
      </w:r>
      <w:r w:rsidR="00FB31B4" w:rsidRPr="00FB31B4">
        <w:rPr>
          <w:rFonts w:ascii="Arial" w:eastAsia="Luxi Sans" w:hAnsi="Arial" w:cs="Arial"/>
          <w:b/>
          <w:color w:val="FF0000"/>
        </w:rPr>
        <w:t>(Qualificação completa)</w:t>
      </w:r>
      <w:r w:rsidRPr="00FB31B4">
        <w:rPr>
          <w:rFonts w:ascii="Arial" w:eastAsia="Luxi Sans" w:hAnsi="Arial" w:cs="Arial"/>
          <w:b/>
          <w:color w:val="FF0000"/>
        </w:rPr>
        <w:t>,</w:t>
      </w:r>
      <w:r w:rsidRPr="00FB31B4">
        <w:rPr>
          <w:rFonts w:ascii="Arial" w:eastAsia="Luxi Sans" w:hAnsi="Arial" w:cs="Arial"/>
          <w:color w:val="FF0000"/>
        </w:rPr>
        <w:t xml:space="preserve"> </w:t>
      </w:r>
      <w:r w:rsidRPr="00A31A04">
        <w:rPr>
          <w:rFonts w:ascii="Arial" w:eastAsia="Luxi Sans" w:hAnsi="Arial" w:cs="Arial"/>
        </w:rPr>
        <w:t>vêm mui respeitosamente a presença de Vossa Excelência, por seus advo</w:t>
      </w:r>
      <w:r>
        <w:rPr>
          <w:rFonts w:ascii="Arial" w:eastAsia="Luxi Sans" w:hAnsi="Arial" w:cs="Arial"/>
        </w:rPr>
        <w:t xml:space="preserve">gados constituídos, </w:t>
      </w:r>
      <w:r w:rsidRPr="00A31A04">
        <w:rPr>
          <w:rFonts w:ascii="Arial" w:eastAsia="Luxi Sans" w:hAnsi="Arial" w:cs="Arial"/>
        </w:rPr>
        <w:t>interpor</w:t>
      </w:r>
      <w:r w:rsidR="009B5416">
        <w:rPr>
          <w:rFonts w:ascii="Arial" w:eastAsia="Luxi Sans" w:hAnsi="Arial" w:cs="Arial"/>
        </w:rPr>
        <w:t xml:space="preserve">, </w:t>
      </w:r>
      <w:r w:rsidR="001E7980">
        <w:rPr>
          <w:rFonts w:ascii="Arial" w:eastAsia="Luxi Sans" w:hAnsi="Arial" w:cs="Arial"/>
        </w:rPr>
        <w:t xml:space="preserve">com fundamento no </w:t>
      </w:r>
      <w:r w:rsidR="009B5416">
        <w:rPr>
          <w:rFonts w:ascii="Arial" w:eastAsia="Luxi Sans" w:hAnsi="Arial" w:cs="Arial"/>
        </w:rPr>
        <w:t xml:space="preserve">art. </w:t>
      </w:r>
      <w:r w:rsidR="009B5416" w:rsidRPr="00D412A3">
        <w:rPr>
          <w:rFonts w:ascii="Arial" w:eastAsia="Luxi Sans" w:hAnsi="Arial" w:cs="Arial"/>
          <w:b/>
        </w:rPr>
        <w:t>976, I e II do CPC/2015</w:t>
      </w:r>
      <w:r w:rsidR="009B5416">
        <w:rPr>
          <w:rFonts w:ascii="Arial" w:eastAsia="Luxi Sans" w:hAnsi="Arial" w:cs="Arial"/>
        </w:rPr>
        <w:t xml:space="preserve">, bem como o disposto </w:t>
      </w:r>
      <w:r w:rsidR="009B5416" w:rsidRPr="001E7980">
        <w:rPr>
          <w:rFonts w:ascii="Arial" w:eastAsia="Luxi Sans" w:hAnsi="Arial" w:cs="Arial"/>
          <w:b/>
        </w:rPr>
        <w:t>no</w:t>
      </w:r>
      <w:r w:rsidR="001E7980" w:rsidRPr="001E7980">
        <w:rPr>
          <w:rFonts w:ascii="Arial" w:eastAsia="Luxi Sans" w:hAnsi="Arial" w:cs="Arial"/>
          <w:b/>
        </w:rPr>
        <w:t xml:space="preserve"> art. 357 e seguintes do RITRF1</w:t>
      </w:r>
      <w:r w:rsidR="001E7980">
        <w:rPr>
          <w:rFonts w:ascii="Arial" w:eastAsia="Luxi Sans" w:hAnsi="Arial" w:cs="Arial"/>
        </w:rPr>
        <w:t xml:space="preserve">; e do </w:t>
      </w:r>
      <w:r w:rsidR="001E7980" w:rsidRPr="001E7980">
        <w:rPr>
          <w:rFonts w:ascii="Arial" w:eastAsia="Luxi Sans" w:hAnsi="Arial" w:cs="Arial"/>
          <w:b/>
        </w:rPr>
        <w:t>art.</w:t>
      </w:r>
      <w:r w:rsidR="009B5416" w:rsidRPr="001E7980">
        <w:rPr>
          <w:rFonts w:ascii="Arial" w:eastAsia="Luxi Sans" w:hAnsi="Arial" w:cs="Arial"/>
          <w:b/>
        </w:rPr>
        <w:t xml:space="preserve"> 14, § 3º da Resolução 345/2015 do CJF</w:t>
      </w:r>
      <w:r w:rsidR="009B5416">
        <w:rPr>
          <w:rFonts w:ascii="Arial" w:eastAsia="Luxi Sans" w:hAnsi="Arial" w:cs="Arial"/>
        </w:rPr>
        <w:t xml:space="preserve"> (Regimento Interno da TNU) </w:t>
      </w:r>
      <w:r w:rsidR="009B5416" w:rsidRPr="00A31A04">
        <w:rPr>
          <w:rFonts w:ascii="Arial" w:eastAsia="Luxi Sans" w:hAnsi="Arial" w:cs="Arial"/>
        </w:rPr>
        <w:t>o</w:t>
      </w:r>
      <w:r w:rsidRPr="00A31A04">
        <w:rPr>
          <w:rFonts w:ascii="Arial" w:eastAsia="Luxi Sans" w:hAnsi="Arial" w:cs="Arial"/>
        </w:rPr>
        <w:t xml:space="preserve"> presente </w:t>
      </w:r>
    </w:p>
    <w:p w:rsidR="009B5416" w:rsidRDefault="009B5416" w:rsidP="00C52B8B">
      <w:pPr>
        <w:jc w:val="both"/>
        <w:rPr>
          <w:rFonts w:ascii="Arial" w:eastAsia="Luxi Sans" w:hAnsi="Arial" w:cs="Arial"/>
        </w:rPr>
      </w:pPr>
    </w:p>
    <w:tbl>
      <w:tblPr>
        <w:tblStyle w:val="Tabelacomgrade"/>
        <w:tblW w:w="10349" w:type="dxa"/>
        <w:tblInd w:w="-856" w:type="dxa"/>
        <w:tblLook w:val="04A0" w:firstRow="1" w:lastRow="0" w:firstColumn="1" w:lastColumn="0" w:noHBand="0" w:noVBand="1"/>
      </w:tblPr>
      <w:tblGrid>
        <w:gridCol w:w="10349"/>
      </w:tblGrid>
      <w:tr w:rsidR="009B5416" w:rsidTr="000C751F">
        <w:tc>
          <w:tcPr>
            <w:tcW w:w="10349" w:type="dxa"/>
          </w:tcPr>
          <w:p w:rsidR="002D2347" w:rsidRDefault="009B5416" w:rsidP="00DE1840">
            <w:pPr>
              <w:spacing w:line="240" w:lineRule="auto"/>
              <w:jc w:val="center"/>
              <w:rPr>
                <w:rFonts w:ascii="Arial Black" w:eastAsia="Luxi Sans" w:hAnsi="Arial Black" w:cs="Arial"/>
                <w:b/>
                <w:bCs/>
                <w:sz w:val="28"/>
                <w:szCs w:val="28"/>
              </w:rPr>
            </w:pPr>
            <w:r w:rsidRPr="00207C1F">
              <w:rPr>
                <w:rFonts w:ascii="Arial Black" w:eastAsia="Luxi Sans" w:hAnsi="Arial Black" w:cs="Arial"/>
                <w:b/>
                <w:bCs/>
                <w:sz w:val="28"/>
                <w:szCs w:val="28"/>
              </w:rPr>
              <w:t>INCIDENTE DE RESOLUÇÃO DE DEMANDAS REPETIDAS</w:t>
            </w:r>
            <w:r w:rsidR="00DE1840">
              <w:rPr>
                <w:rFonts w:ascii="Arial Black" w:eastAsia="Luxi Sans" w:hAnsi="Arial Black" w:cs="Arial"/>
                <w:b/>
                <w:bCs/>
                <w:sz w:val="28"/>
                <w:szCs w:val="28"/>
              </w:rPr>
              <w:t xml:space="preserve"> C/C </w:t>
            </w:r>
          </w:p>
          <w:p w:rsidR="009B5416" w:rsidRDefault="00DE1840" w:rsidP="00DE1840">
            <w:pPr>
              <w:spacing w:line="240" w:lineRule="auto"/>
              <w:jc w:val="center"/>
              <w:rPr>
                <w:rFonts w:ascii="Arial Black" w:eastAsia="Luxi Sans" w:hAnsi="Arial Black" w:cs="Arial"/>
                <w:b/>
                <w:bCs/>
                <w:sz w:val="28"/>
                <w:szCs w:val="28"/>
              </w:rPr>
            </w:pPr>
            <w:r w:rsidRPr="002D2347">
              <w:rPr>
                <w:rFonts w:ascii="Arial" w:eastAsia="Luxi Sans" w:hAnsi="Arial" w:cs="Arial"/>
                <w:b/>
                <w:bCs/>
              </w:rPr>
              <w:t>COM PEDIDO DE DECLARAÇAO INCIDENTAL DE INCONSTITUCIONALIDADE DE ARTIGOS DA RESOLUÇÃO</w:t>
            </w:r>
            <w:r w:rsidR="002D2347" w:rsidRPr="002D2347">
              <w:rPr>
                <w:rFonts w:ascii="Arial" w:eastAsia="Luxi Sans" w:hAnsi="Arial" w:cs="Arial"/>
                <w:b/>
                <w:bCs/>
              </w:rPr>
              <w:t xml:space="preserve"> 392/2016</w:t>
            </w:r>
            <w:r w:rsidRPr="002D2347">
              <w:rPr>
                <w:rFonts w:ascii="Arial" w:eastAsia="Luxi Sans" w:hAnsi="Arial" w:cs="Arial"/>
                <w:b/>
                <w:bCs/>
              </w:rPr>
              <w:t xml:space="preserve"> DO CONSELHO DE JUSTIÇA FEDERAL</w:t>
            </w:r>
            <w:r w:rsidR="001A79AB">
              <w:rPr>
                <w:rFonts w:ascii="Arial" w:eastAsia="Luxi Sans" w:hAnsi="Arial" w:cs="Arial"/>
                <w:b/>
                <w:bCs/>
              </w:rPr>
              <w:t xml:space="preserve"> QUE ALTEROU O REGIMENTO INTERNO DA </w:t>
            </w:r>
            <w:r w:rsidR="002D2347" w:rsidRPr="002D2347">
              <w:rPr>
                <w:rFonts w:ascii="Arial" w:eastAsia="Luxi Sans" w:hAnsi="Arial" w:cs="Arial"/>
                <w:b/>
                <w:bCs/>
              </w:rPr>
              <w:t>TNU</w:t>
            </w:r>
            <w:r w:rsidR="000F14F8">
              <w:rPr>
                <w:rFonts w:ascii="Arial" w:eastAsia="Luxi Sans" w:hAnsi="Arial" w:cs="Arial"/>
                <w:b/>
                <w:bCs/>
              </w:rPr>
              <w:t xml:space="preserve"> E APLICAÇÃO DO §ÚNICO DO ART. 798 DO NCPC</w:t>
            </w:r>
          </w:p>
        </w:tc>
      </w:tr>
    </w:tbl>
    <w:p w:rsidR="009B5416" w:rsidRDefault="009B5416" w:rsidP="00C52B8B">
      <w:pPr>
        <w:jc w:val="both"/>
        <w:rPr>
          <w:rFonts w:ascii="Arial Black" w:eastAsia="Luxi Sans" w:hAnsi="Arial Black" w:cs="Arial"/>
          <w:b/>
          <w:bCs/>
          <w:sz w:val="28"/>
          <w:szCs w:val="28"/>
        </w:rPr>
      </w:pPr>
      <w:r>
        <w:rPr>
          <w:rFonts w:ascii="Arial Black" w:eastAsia="Luxi Sans" w:hAnsi="Arial Black" w:cs="Arial"/>
          <w:b/>
          <w:bCs/>
          <w:sz w:val="28"/>
          <w:szCs w:val="28"/>
        </w:rPr>
        <w:tab/>
      </w:r>
    </w:p>
    <w:p w:rsidR="00C52B8B" w:rsidRDefault="004A1935" w:rsidP="000C751F">
      <w:pPr>
        <w:ind w:firstLine="1134"/>
        <w:rPr>
          <w:rFonts w:ascii="Arial" w:eastAsia="Luxi Sans" w:hAnsi="Arial" w:cs="Arial"/>
        </w:rPr>
      </w:pPr>
      <w:r>
        <w:rPr>
          <w:rFonts w:ascii="Arial" w:eastAsia="Luxi Sans" w:hAnsi="Arial" w:cs="Arial"/>
        </w:rPr>
        <w:t>Conforme fatos e fundamentos jurídicos que a seguir expõe:</w:t>
      </w:r>
    </w:p>
    <w:p w:rsidR="004A1935" w:rsidRDefault="004A1935" w:rsidP="000C751F">
      <w:pPr>
        <w:ind w:firstLine="1134"/>
        <w:rPr>
          <w:rFonts w:ascii="Arial" w:eastAsia="Luxi Sans" w:hAnsi="Arial" w:cs="Arial"/>
        </w:rPr>
      </w:pPr>
    </w:p>
    <w:p w:rsidR="001A79AB" w:rsidRDefault="001A79AB" w:rsidP="00DA7BEB">
      <w:pPr>
        <w:pStyle w:val="PargrafodaLista"/>
        <w:numPr>
          <w:ilvl w:val="0"/>
          <w:numId w:val="21"/>
        </w:numPr>
        <w:spacing w:line="240" w:lineRule="auto"/>
        <w:ind w:left="357" w:hanging="357"/>
        <w:jc w:val="both"/>
        <w:rPr>
          <w:rFonts w:ascii="Arial" w:eastAsia="Luxi Sans" w:hAnsi="Arial" w:cs="Arial"/>
          <w:b/>
          <w:bCs/>
        </w:rPr>
      </w:pPr>
      <w:r>
        <w:rPr>
          <w:rFonts w:ascii="Arial" w:eastAsia="Luxi Sans" w:hAnsi="Arial" w:cs="Arial"/>
          <w:b/>
          <w:bCs/>
        </w:rPr>
        <w:t xml:space="preserve">DA COMPETÊNCIA </w:t>
      </w:r>
      <w:r w:rsidR="00DA7BEB">
        <w:rPr>
          <w:rFonts w:ascii="Arial" w:eastAsia="Luxi Sans" w:hAnsi="Arial" w:cs="Arial"/>
          <w:b/>
          <w:bCs/>
        </w:rPr>
        <w:t xml:space="preserve">DESTE TRIBUNAL </w:t>
      </w:r>
      <w:r>
        <w:rPr>
          <w:rFonts w:ascii="Arial" w:eastAsia="Luxi Sans" w:hAnsi="Arial" w:cs="Arial"/>
          <w:b/>
          <w:bCs/>
        </w:rPr>
        <w:t xml:space="preserve">PARA </w:t>
      </w:r>
      <w:r w:rsidR="00DA7BEB">
        <w:rPr>
          <w:rFonts w:ascii="Arial" w:eastAsia="Luxi Sans" w:hAnsi="Arial" w:cs="Arial"/>
          <w:b/>
          <w:bCs/>
        </w:rPr>
        <w:t>JULGAR IRDR</w:t>
      </w:r>
      <w:r>
        <w:rPr>
          <w:rFonts w:ascii="Arial" w:eastAsia="Luxi Sans" w:hAnsi="Arial" w:cs="Arial"/>
          <w:b/>
          <w:bCs/>
        </w:rPr>
        <w:t xml:space="preserve"> A PARTIR DE PROCESSO ORIGINÁRIO DOS JUIZADOS ESPECIAIS FEDERAIS:</w:t>
      </w:r>
    </w:p>
    <w:p w:rsidR="00DA7BEB" w:rsidRDefault="00DA7BEB" w:rsidP="00DA7BEB">
      <w:pPr>
        <w:spacing w:line="240" w:lineRule="auto"/>
        <w:jc w:val="both"/>
        <w:rPr>
          <w:rFonts w:ascii="Arial" w:eastAsia="Luxi Sans" w:hAnsi="Arial" w:cs="Arial"/>
          <w:b/>
          <w:bCs/>
        </w:rPr>
      </w:pPr>
    </w:p>
    <w:p w:rsidR="008350B0" w:rsidRDefault="008350B0" w:rsidP="003A4C24">
      <w:pPr>
        <w:ind w:firstLine="1134"/>
        <w:jc w:val="both"/>
        <w:rPr>
          <w:rFonts w:ascii="Arial" w:eastAsia="Luxi Sans" w:hAnsi="Arial" w:cs="Arial"/>
          <w:bCs/>
        </w:rPr>
      </w:pPr>
    </w:p>
    <w:p w:rsidR="007835B6" w:rsidRDefault="00695F54" w:rsidP="003A4C24">
      <w:pPr>
        <w:ind w:firstLine="1134"/>
        <w:jc w:val="both"/>
        <w:rPr>
          <w:rFonts w:ascii="Arial" w:eastAsia="Luxi Sans" w:hAnsi="Arial" w:cs="Arial"/>
          <w:bCs/>
        </w:rPr>
      </w:pPr>
      <w:r>
        <w:rPr>
          <w:rFonts w:ascii="Arial" w:eastAsia="Luxi Sans" w:hAnsi="Arial" w:cs="Arial"/>
          <w:bCs/>
        </w:rPr>
        <w:t>O artigo</w:t>
      </w:r>
      <w:r w:rsidR="007835B6">
        <w:rPr>
          <w:rFonts w:ascii="Arial" w:eastAsia="Luxi Sans" w:hAnsi="Arial" w:cs="Arial"/>
          <w:bCs/>
        </w:rPr>
        <w:t xml:space="preserve"> 978 do NCPC, interpretado em conjunto com </w:t>
      </w:r>
      <w:r w:rsidR="003A4C24">
        <w:rPr>
          <w:rFonts w:ascii="Arial" w:eastAsia="Luxi Sans" w:hAnsi="Arial" w:cs="Arial"/>
          <w:bCs/>
        </w:rPr>
        <w:t xml:space="preserve">o art. 985, I, o art. 361 do Regimento Interno do TRF1 e com o </w:t>
      </w:r>
      <w:r w:rsidR="003A4C24" w:rsidRPr="003A4C24">
        <w:rPr>
          <w:rFonts w:ascii="Arial" w:eastAsia="Luxi Sans" w:hAnsi="Arial" w:cs="Arial"/>
        </w:rPr>
        <w:t xml:space="preserve">art. 14, § 3º da Resolução 345/2015 do </w:t>
      </w:r>
      <w:r w:rsidR="008350B0" w:rsidRPr="003A4C24">
        <w:rPr>
          <w:rFonts w:ascii="Arial" w:eastAsia="Luxi Sans" w:hAnsi="Arial" w:cs="Arial"/>
        </w:rPr>
        <w:t>CJF</w:t>
      </w:r>
      <w:r w:rsidR="004F3E72">
        <w:rPr>
          <w:rFonts w:ascii="Arial" w:eastAsia="Luxi Sans" w:hAnsi="Arial" w:cs="Arial"/>
          <w:bCs/>
        </w:rPr>
        <w:t>; dos</w:t>
      </w:r>
      <w:r w:rsidR="003A4C24">
        <w:rPr>
          <w:rFonts w:ascii="Arial" w:eastAsia="Luxi Sans" w:hAnsi="Arial" w:cs="Arial"/>
          <w:bCs/>
        </w:rPr>
        <w:t xml:space="preserve"> inúmeros precedentes do TRF</w:t>
      </w:r>
      <w:r w:rsidR="008350B0">
        <w:rPr>
          <w:rFonts w:ascii="Arial" w:eastAsia="Luxi Sans" w:hAnsi="Arial" w:cs="Arial"/>
          <w:bCs/>
        </w:rPr>
        <w:t>4</w:t>
      </w:r>
      <w:r w:rsidR="002D517B">
        <w:rPr>
          <w:rFonts w:ascii="Arial" w:eastAsia="Luxi Sans" w:hAnsi="Arial" w:cs="Arial"/>
          <w:bCs/>
        </w:rPr>
        <w:t>; e</w:t>
      </w:r>
      <w:r w:rsidR="003A4C24">
        <w:rPr>
          <w:rFonts w:ascii="Arial" w:eastAsia="Luxi Sans" w:hAnsi="Arial" w:cs="Arial"/>
          <w:bCs/>
        </w:rPr>
        <w:t xml:space="preserve"> </w:t>
      </w:r>
      <w:r w:rsidR="004F3E72">
        <w:rPr>
          <w:rFonts w:ascii="Arial" w:eastAsia="Luxi Sans" w:hAnsi="Arial" w:cs="Arial"/>
          <w:bCs/>
        </w:rPr>
        <w:t>a</w:t>
      </w:r>
      <w:r w:rsidR="003A4C24">
        <w:rPr>
          <w:rFonts w:ascii="Arial" w:eastAsia="Luxi Sans" w:hAnsi="Arial" w:cs="Arial"/>
          <w:bCs/>
        </w:rPr>
        <w:t xml:space="preserve"> doutrina processualista autorizada deixam </w:t>
      </w:r>
      <w:r w:rsidR="008350B0">
        <w:rPr>
          <w:rFonts w:ascii="Arial" w:eastAsia="Luxi Sans" w:hAnsi="Arial" w:cs="Arial"/>
          <w:bCs/>
        </w:rPr>
        <w:t>a claro</w:t>
      </w:r>
      <w:r w:rsidR="003A4C24">
        <w:rPr>
          <w:rFonts w:ascii="Arial" w:eastAsia="Luxi Sans" w:hAnsi="Arial" w:cs="Arial"/>
          <w:bCs/>
        </w:rPr>
        <w:t xml:space="preserve"> que os Tribunais Regionais Federais são competentes para julgar IRDR’s cujos processos originários sejam dos Juizados Especiais Federais. </w:t>
      </w:r>
    </w:p>
    <w:p w:rsidR="00F7415B" w:rsidRDefault="00F7415B" w:rsidP="00F7415B">
      <w:pPr>
        <w:jc w:val="both"/>
        <w:rPr>
          <w:rFonts w:ascii="Arial" w:eastAsia="Luxi Sans" w:hAnsi="Arial" w:cs="Arial"/>
          <w:bCs/>
        </w:rPr>
      </w:pPr>
    </w:p>
    <w:p w:rsidR="00F7415B" w:rsidRDefault="00F7415B" w:rsidP="00FB62D4">
      <w:pPr>
        <w:pStyle w:val="PargrafodaLista"/>
        <w:numPr>
          <w:ilvl w:val="1"/>
          <w:numId w:val="21"/>
        </w:numPr>
        <w:spacing w:line="240" w:lineRule="auto"/>
        <w:jc w:val="both"/>
        <w:rPr>
          <w:rFonts w:ascii="Arial" w:eastAsia="Luxi Sans" w:hAnsi="Arial" w:cs="Arial"/>
          <w:b/>
          <w:bCs/>
        </w:rPr>
      </w:pPr>
      <w:r>
        <w:rPr>
          <w:rFonts w:ascii="Arial" w:eastAsia="Luxi Sans" w:hAnsi="Arial" w:cs="Arial"/>
          <w:b/>
          <w:bCs/>
        </w:rPr>
        <w:t xml:space="preserve">Da análise dos artigos 978 do NCPC e </w:t>
      </w:r>
      <w:r w:rsidR="00FB62D4">
        <w:rPr>
          <w:rFonts w:ascii="Arial" w:eastAsia="Luxi Sans" w:hAnsi="Arial" w:cs="Arial"/>
          <w:b/>
          <w:bCs/>
        </w:rPr>
        <w:t>do 357</w:t>
      </w:r>
      <w:r>
        <w:rPr>
          <w:rFonts w:ascii="Arial" w:eastAsia="Luxi Sans" w:hAnsi="Arial" w:cs="Arial"/>
          <w:b/>
          <w:bCs/>
        </w:rPr>
        <w:t xml:space="preserve"> do RITRF1 quanto </w:t>
      </w:r>
      <w:r w:rsidR="00FB62D4">
        <w:rPr>
          <w:rFonts w:ascii="Arial" w:eastAsia="Luxi Sans" w:hAnsi="Arial" w:cs="Arial"/>
          <w:b/>
          <w:bCs/>
        </w:rPr>
        <w:t xml:space="preserve">a atribuição do IRDR a cada órgão específico do TRF1: </w:t>
      </w:r>
    </w:p>
    <w:p w:rsidR="00FB62D4" w:rsidRDefault="00FB62D4" w:rsidP="00FB62D4">
      <w:pPr>
        <w:spacing w:line="240" w:lineRule="auto"/>
        <w:jc w:val="both"/>
        <w:rPr>
          <w:rFonts w:ascii="Arial" w:eastAsia="Luxi Sans" w:hAnsi="Arial" w:cs="Arial"/>
          <w:b/>
          <w:bCs/>
        </w:rPr>
      </w:pPr>
    </w:p>
    <w:p w:rsidR="008317ED" w:rsidRPr="006311AB" w:rsidRDefault="002D517B" w:rsidP="001101DC">
      <w:pPr>
        <w:pStyle w:val="artigo"/>
        <w:rPr>
          <w:rFonts w:ascii="Arial" w:hAnsi="Arial" w:cs="Arial"/>
          <w:sz w:val="20"/>
          <w:szCs w:val="20"/>
          <w:u w:val="single"/>
        </w:rPr>
      </w:pPr>
      <w:r w:rsidRPr="006311AB">
        <w:rPr>
          <w:rFonts w:ascii="Arial" w:eastAsia="Luxi Sans" w:hAnsi="Arial" w:cs="Arial"/>
          <w:bCs/>
          <w:u w:val="single"/>
        </w:rPr>
        <w:lastRenderedPageBreak/>
        <w:t>Art. 978 do NCPC:</w:t>
      </w:r>
      <w:r w:rsidRPr="006311AB">
        <w:rPr>
          <w:rFonts w:ascii="Arial" w:hAnsi="Arial" w:cs="Arial"/>
          <w:sz w:val="20"/>
          <w:szCs w:val="20"/>
          <w:u w:val="single"/>
        </w:rPr>
        <w:t xml:space="preserve"> </w:t>
      </w:r>
    </w:p>
    <w:tbl>
      <w:tblPr>
        <w:tblStyle w:val="Tabelacomgrade"/>
        <w:tblW w:w="0" w:type="auto"/>
        <w:tblInd w:w="2547" w:type="dxa"/>
        <w:tblLook w:val="04A0" w:firstRow="1" w:lastRow="0" w:firstColumn="1" w:lastColumn="0" w:noHBand="0" w:noVBand="1"/>
      </w:tblPr>
      <w:tblGrid>
        <w:gridCol w:w="6515"/>
      </w:tblGrid>
      <w:tr w:rsidR="008317ED" w:rsidTr="009B5B6A">
        <w:tc>
          <w:tcPr>
            <w:tcW w:w="6515" w:type="dxa"/>
          </w:tcPr>
          <w:p w:rsidR="008317ED" w:rsidRPr="009B5B6A" w:rsidRDefault="008317ED" w:rsidP="009B5B6A">
            <w:pPr>
              <w:spacing w:line="240" w:lineRule="auto"/>
              <w:jc w:val="both"/>
              <w:rPr>
                <w:rFonts w:ascii="Arial" w:eastAsia="Luxi Sans" w:hAnsi="Arial" w:cs="Arial"/>
                <w:bCs/>
                <w:sz w:val="18"/>
                <w:szCs w:val="18"/>
              </w:rPr>
            </w:pPr>
            <w:bookmarkStart w:id="0" w:name="art978p"/>
            <w:bookmarkEnd w:id="0"/>
            <w:r w:rsidRPr="009B5B6A">
              <w:rPr>
                <w:rFonts w:ascii="Arial" w:hAnsi="Arial" w:cs="Arial"/>
                <w:i/>
                <w:sz w:val="18"/>
                <w:szCs w:val="18"/>
              </w:rPr>
              <w:t xml:space="preserve">“Art. 978.  O julgamento do incidente </w:t>
            </w:r>
            <w:r w:rsidRPr="009B5B6A">
              <w:rPr>
                <w:rFonts w:ascii="Arial" w:hAnsi="Arial" w:cs="Arial"/>
                <w:b/>
                <w:i/>
                <w:sz w:val="18"/>
                <w:szCs w:val="18"/>
              </w:rPr>
              <w:t>caberá ao órgão indicado pelo regimento interno dentre aqueles responsáveis pela uniformização de jurisprudência do tribunal.”</w:t>
            </w:r>
          </w:p>
        </w:tc>
      </w:tr>
    </w:tbl>
    <w:p w:rsidR="002D517B" w:rsidRPr="008317ED" w:rsidRDefault="002D517B" w:rsidP="008317ED">
      <w:pPr>
        <w:jc w:val="both"/>
        <w:rPr>
          <w:rFonts w:ascii="Arial" w:eastAsia="Luxi Sans" w:hAnsi="Arial" w:cs="Arial"/>
          <w:bCs/>
        </w:rPr>
      </w:pPr>
    </w:p>
    <w:p w:rsidR="007835B6" w:rsidRDefault="007835B6" w:rsidP="00DA7BEB">
      <w:pPr>
        <w:spacing w:line="240" w:lineRule="auto"/>
        <w:jc w:val="both"/>
        <w:rPr>
          <w:rFonts w:ascii="Arial" w:eastAsia="Luxi Sans" w:hAnsi="Arial" w:cs="Arial"/>
          <w:bCs/>
        </w:rPr>
      </w:pPr>
    </w:p>
    <w:p w:rsidR="009B5B6A" w:rsidRPr="006311AB" w:rsidRDefault="001101DC" w:rsidP="00DA7BEB">
      <w:pPr>
        <w:spacing w:line="240" w:lineRule="auto"/>
        <w:jc w:val="both"/>
        <w:rPr>
          <w:rFonts w:ascii="Arial" w:eastAsia="Luxi Sans" w:hAnsi="Arial" w:cs="Arial"/>
          <w:bCs/>
          <w:u w:val="single"/>
        </w:rPr>
      </w:pPr>
      <w:r w:rsidRPr="006311AB">
        <w:rPr>
          <w:rFonts w:ascii="Arial" w:eastAsia="Luxi Sans" w:hAnsi="Arial" w:cs="Arial"/>
          <w:bCs/>
          <w:u w:val="single"/>
        </w:rPr>
        <w:t>Art. 3</w:t>
      </w:r>
      <w:r w:rsidR="00F0308E" w:rsidRPr="006311AB">
        <w:rPr>
          <w:rFonts w:ascii="Arial" w:eastAsia="Luxi Sans" w:hAnsi="Arial" w:cs="Arial"/>
          <w:bCs/>
          <w:u w:val="single"/>
        </w:rPr>
        <w:t>57</w:t>
      </w:r>
      <w:r w:rsidRPr="006311AB">
        <w:rPr>
          <w:rFonts w:ascii="Arial" w:eastAsia="Luxi Sans" w:hAnsi="Arial" w:cs="Arial"/>
          <w:bCs/>
          <w:u w:val="single"/>
        </w:rPr>
        <w:t xml:space="preserve"> do RITRF1:</w:t>
      </w:r>
    </w:p>
    <w:p w:rsidR="001101DC" w:rsidRPr="001101DC" w:rsidRDefault="001101DC" w:rsidP="001101DC">
      <w:pPr>
        <w:spacing w:line="240" w:lineRule="auto"/>
        <w:ind w:left="2552"/>
        <w:jc w:val="both"/>
        <w:rPr>
          <w:rFonts w:ascii="Arial" w:hAnsi="Arial" w:cs="Arial"/>
          <w:i/>
          <w:sz w:val="20"/>
          <w:szCs w:val="20"/>
        </w:rPr>
      </w:pPr>
    </w:p>
    <w:tbl>
      <w:tblPr>
        <w:tblStyle w:val="Tabelacomgrade"/>
        <w:tblW w:w="0" w:type="auto"/>
        <w:tblInd w:w="2552" w:type="dxa"/>
        <w:tblLook w:val="04A0" w:firstRow="1" w:lastRow="0" w:firstColumn="1" w:lastColumn="0" w:noHBand="0" w:noVBand="1"/>
      </w:tblPr>
      <w:tblGrid>
        <w:gridCol w:w="6510"/>
      </w:tblGrid>
      <w:tr w:rsidR="001101DC" w:rsidTr="001101DC">
        <w:tc>
          <w:tcPr>
            <w:tcW w:w="9062" w:type="dxa"/>
          </w:tcPr>
          <w:p w:rsidR="00B04D62" w:rsidRPr="00B04D62" w:rsidRDefault="00F0308E" w:rsidP="001101DC">
            <w:pPr>
              <w:spacing w:line="240" w:lineRule="auto"/>
              <w:jc w:val="both"/>
              <w:rPr>
                <w:rFonts w:ascii="Arial" w:hAnsi="Arial" w:cs="Arial"/>
                <w:i/>
                <w:sz w:val="18"/>
                <w:szCs w:val="18"/>
              </w:rPr>
            </w:pPr>
            <w:r>
              <w:rPr>
                <w:rFonts w:ascii="Arial" w:hAnsi="Arial" w:cs="Arial"/>
                <w:i/>
                <w:sz w:val="18"/>
                <w:szCs w:val="18"/>
              </w:rPr>
              <w:t>“</w:t>
            </w:r>
            <w:r w:rsidR="001101DC" w:rsidRPr="00B04D62">
              <w:rPr>
                <w:rFonts w:ascii="Arial" w:hAnsi="Arial" w:cs="Arial"/>
                <w:i/>
                <w:sz w:val="18"/>
                <w:szCs w:val="18"/>
              </w:rPr>
              <w:t xml:space="preserve">Art. 357. O incidente de resolução de demandas repetitivas será julgado: </w:t>
            </w:r>
          </w:p>
          <w:p w:rsidR="00B04D62" w:rsidRPr="00B04D62" w:rsidRDefault="001101DC" w:rsidP="001101DC">
            <w:pPr>
              <w:spacing w:line="240" w:lineRule="auto"/>
              <w:jc w:val="both"/>
              <w:rPr>
                <w:rFonts w:ascii="Arial" w:hAnsi="Arial" w:cs="Arial"/>
                <w:i/>
                <w:sz w:val="18"/>
                <w:szCs w:val="18"/>
              </w:rPr>
            </w:pPr>
            <w:r w:rsidRPr="00B04D62">
              <w:rPr>
                <w:rFonts w:ascii="Arial" w:hAnsi="Arial" w:cs="Arial"/>
                <w:i/>
                <w:sz w:val="18"/>
                <w:szCs w:val="18"/>
              </w:rPr>
              <w:t xml:space="preserve">I – </w:t>
            </w:r>
            <w:r w:rsidRPr="00F0308E">
              <w:rPr>
                <w:rFonts w:ascii="Arial" w:hAnsi="Arial" w:cs="Arial"/>
                <w:b/>
                <w:i/>
                <w:sz w:val="18"/>
                <w:szCs w:val="18"/>
              </w:rPr>
              <w:t>pela Corte Especial</w:t>
            </w:r>
            <w:r w:rsidRPr="00B04D62">
              <w:rPr>
                <w:rFonts w:ascii="Arial" w:hAnsi="Arial" w:cs="Arial"/>
                <w:i/>
                <w:sz w:val="18"/>
                <w:szCs w:val="18"/>
              </w:rPr>
              <w:t>, quando a matéria envolver arguição de inconstitucionalidade ou a competência de mais de uma seção especializada;</w:t>
            </w:r>
          </w:p>
          <w:p w:rsidR="00B04D62" w:rsidRPr="00B04D62" w:rsidRDefault="00B04D62" w:rsidP="001101DC">
            <w:pPr>
              <w:spacing w:line="240" w:lineRule="auto"/>
              <w:jc w:val="both"/>
              <w:rPr>
                <w:rFonts w:ascii="Arial" w:hAnsi="Arial" w:cs="Arial"/>
                <w:i/>
                <w:sz w:val="18"/>
                <w:szCs w:val="18"/>
              </w:rPr>
            </w:pPr>
          </w:p>
          <w:p w:rsidR="001101DC" w:rsidRDefault="001101DC" w:rsidP="00D800A9">
            <w:pPr>
              <w:spacing w:line="240" w:lineRule="auto"/>
              <w:jc w:val="both"/>
              <w:rPr>
                <w:rFonts w:ascii="Arial" w:hAnsi="Arial" w:cs="Arial"/>
                <w:i/>
                <w:sz w:val="20"/>
                <w:szCs w:val="20"/>
              </w:rPr>
            </w:pPr>
            <w:r w:rsidRPr="00B04D62">
              <w:rPr>
                <w:rFonts w:ascii="Arial" w:hAnsi="Arial" w:cs="Arial"/>
                <w:i/>
                <w:sz w:val="18"/>
                <w:szCs w:val="18"/>
              </w:rPr>
              <w:t xml:space="preserve"> II – </w:t>
            </w:r>
            <w:r w:rsidRPr="00F0308E">
              <w:rPr>
                <w:rFonts w:ascii="Arial" w:hAnsi="Arial" w:cs="Arial"/>
                <w:b/>
                <w:i/>
                <w:sz w:val="18"/>
                <w:szCs w:val="18"/>
              </w:rPr>
              <w:t>pelas seções especializadas</w:t>
            </w:r>
            <w:r w:rsidRPr="00B04D62">
              <w:rPr>
                <w:rFonts w:ascii="Arial" w:hAnsi="Arial" w:cs="Arial"/>
                <w:i/>
                <w:sz w:val="18"/>
                <w:szCs w:val="18"/>
              </w:rPr>
              <w:t>, quando a discussão versar sobre matéria restrita à sua competência.</w:t>
            </w:r>
            <w:r w:rsidR="00F0308E">
              <w:rPr>
                <w:rFonts w:ascii="Arial" w:hAnsi="Arial" w:cs="Arial"/>
                <w:i/>
                <w:sz w:val="18"/>
                <w:szCs w:val="18"/>
              </w:rPr>
              <w:t xml:space="preserve"> </w:t>
            </w:r>
            <w:r w:rsidR="00D800A9">
              <w:rPr>
                <w:rFonts w:ascii="Arial" w:hAnsi="Arial" w:cs="Arial"/>
                <w:i/>
                <w:sz w:val="18"/>
                <w:szCs w:val="18"/>
              </w:rPr>
              <w:t>“(grifamos</w:t>
            </w:r>
            <w:r w:rsidR="00F0308E">
              <w:rPr>
                <w:rFonts w:ascii="Arial" w:hAnsi="Arial" w:cs="Arial"/>
                <w:i/>
                <w:sz w:val="18"/>
                <w:szCs w:val="18"/>
              </w:rPr>
              <w:t>)</w:t>
            </w:r>
          </w:p>
        </w:tc>
      </w:tr>
    </w:tbl>
    <w:p w:rsidR="00B04D62" w:rsidRDefault="00B04D62" w:rsidP="00B04D62">
      <w:pPr>
        <w:spacing w:line="240" w:lineRule="auto"/>
        <w:ind w:firstLine="1134"/>
        <w:jc w:val="both"/>
        <w:rPr>
          <w:rFonts w:ascii="Arial" w:eastAsia="Luxi Sans" w:hAnsi="Arial" w:cs="Arial"/>
          <w:bCs/>
        </w:rPr>
      </w:pPr>
      <w:r>
        <w:rPr>
          <w:rFonts w:ascii="Arial" w:eastAsia="Luxi Sans" w:hAnsi="Arial" w:cs="Arial"/>
          <w:bCs/>
        </w:rPr>
        <w:tab/>
      </w:r>
    </w:p>
    <w:p w:rsidR="00F0452B" w:rsidRDefault="00B04D62" w:rsidP="00F0452B">
      <w:pPr>
        <w:ind w:firstLine="1134"/>
        <w:jc w:val="both"/>
        <w:rPr>
          <w:rFonts w:ascii="Arial" w:eastAsia="Luxi Sans" w:hAnsi="Arial" w:cs="Arial"/>
          <w:bCs/>
        </w:rPr>
      </w:pPr>
      <w:r>
        <w:rPr>
          <w:rFonts w:ascii="Arial" w:eastAsia="Luxi Sans" w:hAnsi="Arial" w:cs="Arial"/>
          <w:bCs/>
        </w:rPr>
        <w:t>Como se p</w:t>
      </w:r>
      <w:r w:rsidR="00F0452B">
        <w:rPr>
          <w:rFonts w:ascii="Arial" w:eastAsia="Luxi Sans" w:hAnsi="Arial" w:cs="Arial"/>
          <w:bCs/>
        </w:rPr>
        <w:t>o</w:t>
      </w:r>
      <w:r>
        <w:rPr>
          <w:rFonts w:ascii="Arial" w:eastAsia="Luxi Sans" w:hAnsi="Arial" w:cs="Arial"/>
          <w:bCs/>
        </w:rPr>
        <w:t xml:space="preserve">de observar, o RITRF1, em correta aplicação do art. 978 do NCPC, </w:t>
      </w:r>
      <w:r w:rsidR="00976614" w:rsidRPr="00D800A9">
        <w:rPr>
          <w:rFonts w:ascii="Arial" w:eastAsia="Luxi Sans" w:hAnsi="Arial" w:cs="Arial"/>
          <w:bCs/>
          <w:u w:val="single"/>
        </w:rPr>
        <w:t>indicou os seus órgãos responsáveis</w:t>
      </w:r>
      <w:r w:rsidR="00554F09">
        <w:rPr>
          <w:rFonts w:ascii="Arial" w:eastAsia="Luxi Sans" w:hAnsi="Arial" w:cs="Arial"/>
          <w:bCs/>
          <w:u w:val="single"/>
        </w:rPr>
        <w:t xml:space="preserve"> pela uniformização da jurisprudência</w:t>
      </w:r>
      <w:r w:rsidR="006267B8">
        <w:rPr>
          <w:rFonts w:ascii="Arial" w:eastAsia="Luxi Sans" w:hAnsi="Arial" w:cs="Arial"/>
          <w:bCs/>
          <w:u w:val="single"/>
        </w:rPr>
        <w:t xml:space="preserve"> para o julgamento</w:t>
      </w:r>
      <w:r w:rsidR="00976614" w:rsidRPr="00D800A9">
        <w:rPr>
          <w:rFonts w:ascii="Arial" w:eastAsia="Luxi Sans" w:hAnsi="Arial" w:cs="Arial"/>
          <w:bCs/>
          <w:u w:val="single"/>
        </w:rPr>
        <w:t xml:space="preserve"> do IRDR em cada caso</w:t>
      </w:r>
      <w:r w:rsidR="006267B8">
        <w:rPr>
          <w:rFonts w:ascii="Arial" w:eastAsia="Luxi Sans" w:hAnsi="Arial" w:cs="Arial"/>
          <w:bCs/>
          <w:u w:val="single"/>
        </w:rPr>
        <w:t>, conforme a especialização da Corte ou seção.</w:t>
      </w:r>
      <w:r w:rsidR="00976614">
        <w:rPr>
          <w:rFonts w:ascii="Arial" w:eastAsia="Luxi Sans" w:hAnsi="Arial" w:cs="Arial"/>
          <w:bCs/>
        </w:rPr>
        <w:t xml:space="preserve"> </w:t>
      </w:r>
    </w:p>
    <w:p w:rsidR="009B5B6A" w:rsidRDefault="00976614" w:rsidP="00F0452B">
      <w:pPr>
        <w:ind w:firstLine="1134"/>
        <w:jc w:val="both"/>
        <w:rPr>
          <w:rFonts w:ascii="Arial" w:eastAsia="Luxi Sans" w:hAnsi="Arial" w:cs="Arial"/>
          <w:bCs/>
        </w:rPr>
      </w:pPr>
      <w:r>
        <w:rPr>
          <w:rFonts w:ascii="Arial" w:eastAsia="Luxi Sans" w:hAnsi="Arial" w:cs="Arial"/>
          <w:bCs/>
        </w:rPr>
        <w:t>Com isso, a correta interpretação do art. 978 do CPC é aquela dada pelo art. 357 e incisos do</w:t>
      </w:r>
      <w:r w:rsidR="00914056">
        <w:rPr>
          <w:rFonts w:ascii="Arial" w:eastAsia="Luxi Sans" w:hAnsi="Arial" w:cs="Arial"/>
          <w:bCs/>
        </w:rPr>
        <w:t xml:space="preserve"> Regimento Interno do TRF1, ou seja, os órgãos a que se referem o art. 978 do CPC são aqueles componentes da estrutura do TRF.</w:t>
      </w:r>
    </w:p>
    <w:p w:rsidR="00F7415B" w:rsidRDefault="00F7415B" w:rsidP="00B04D62">
      <w:pPr>
        <w:spacing w:line="240" w:lineRule="auto"/>
        <w:ind w:firstLine="1134"/>
        <w:jc w:val="both"/>
        <w:rPr>
          <w:rFonts w:ascii="Arial" w:eastAsia="Luxi Sans" w:hAnsi="Arial" w:cs="Arial"/>
          <w:bCs/>
        </w:rPr>
      </w:pPr>
    </w:p>
    <w:p w:rsidR="00F7415B" w:rsidRDefault="00AE5065" w:rsidP="00AE5065">
      <w:pPr>
        <w:pStyle w:val="PargrafodaLista"/>
        <w:numPr>
          <w:ilvl w:val="1"/>
          <w:numId w:val="21"/>
        </w:numPr>
        <w:spacing w:line="240" w:lineRule="auto"/>
        <w:jc w:val="both"/>
        <w:rPr>
          <w:rFonts w:ascii="Arial" w:eastAsia="Luxi Sans" w:hAnsi="Arial" w:cs="Arial"/>
          <w:bCs/>
        </w:rPr>
      </w:pPr>
      <w:r>
        <w:rPr>
          <w:rFonts w:ascii="Arial" w:eastAsia="Luxi Sans" w:hAnsi="Arial" w:cs="Arial"/>
          <w:b/>
          <w:bCs/>
        </w:rPr>
        <w:t>Da não confusão entre os Institutos do PEDILEF</w:t>
      </w:r>
      <w:r w:rsidR="004F3E72">
        <w:rPr>
          <w:rFonts w:ascii="Arial" w:eastAsia="Luxi Sans" w:hAnsi="Arial" w:cs="Arial"/>
          <w:b/>
          <w:bCs/>
        </w:rPr>
        <w:t xml:space="preserve"> para TNU ou TRU</w:t>
      </w:r>
      <w:r>
        <w:rPr>
          <w:rFonts w:ascii="Arial" w:eastAsia="Luxi Sans" w:hAnsi="Arial" w:cs="Arial"/>
          <w:b/>
          <w:bCs/>
        </w:rPr>
        <w:t xml:space="preserve"> com o IRDR</w:t>
      </w:r>
      <w:r w:rsidR="004F3E72">
        <w:rPr>
          <w:rFonts w:ascii="Arial" w:eastAsia="Luxi Sans" w:hAnsi="Arial" w:cs="Arial"/>
          <w:b/>
          <w:bCs/>
        </w:rPr>
        <w:t xml:space="preserve"> proposto perante o Tribunal Regional Federal</w:t>
      </w:r>
      <w:r>
        <w:rPr>
          <w:rFonts w:ascii="Arial" w:eastAsia="Luxi Sans" w:hAnsi="Arial" w:cs="Arial"/>
          <w:b/>
          <w:bCs/>
        </w:rPr>
        <w:t>:</w:t>
      </w:r>
    </w:p>
    <w:p w:rsidR="00AE5065" w:rsidRDefault="00AE5065" w:rsidP="00AE5065">
      <w:pPr>
        <w:spacing w:line="240" w:lineRule="auto"/>
        <w:jc w:val="both"/>
        <w:rPr>
          <w:rFonts w:ascii="Arial" w:eastAsia="Luxi Sans" w:hAnsi="Arial" w:cs="Arial"/>
          <w:bCs/>
        </w:rPr>
      </w:pPr>
    </w:p>
    <w:p w:rsidR="00AE5065" w:rsidRDefault="00AE5065" w:rsidP="00541A5A">
      <w:pPr>
        <w:spacing w:line="240" w:lineRule="auto"/>
        <w:jc w:val="both"/>
        <w:rPr>
          <w:rFonts w:ascii="Arial" w:eastAsia="Luxi Sans" w:hAnsi="Arial" w:cs="Arial"/>
          <w:bCs/>
        </w:rPr>
      </w:pPr>
    </w:p>
    <w:p w:rsidR="00541A5A" w:rsidRDefault="00541A5A" w:rsidP="00541A5A">
      <w:pPr>
        <w:ind w:firstLine="1134"/>
        <w:jc w:val="both"/>
        <w:rPr>
          <w:rFonts w:ascii="Arial" w:eastAsia="Luxi Sans" w:hAnsi="Arial" w:cs="Arial"/>
          <w:bCs/>
        </w:rPr>
      </w:pPr>
      <w:r w:rsidRPr="007C4BFE">
        <w:rPr>
          <w:rFonts w:ascii="Arial" w:eastAsia="Luxi Sans" w:hAnsi="Arial" w:cs="Arial"/>
          <w:bCs/>
          <w:u w:val="single"/>
        </w:rPr>
        <w:t>O PEDILEF</w:t>
      </w:r>
      <w:r>
        <w:rPr>
          <w:rFonts w:ascii="Arial" w:eastAsia="Luxi Sans" w:hAnsi="Arial" w:cs="Arial"/>
          <w:bCs/>
        </w:rPr>
        <w:t xml:space="preserve">- Pedido de Uniformização da Lei Federal </w:t>
      </w:r>
      <w:r w:rsidR="009E4395">
        <w:rPr>
          <w:rFonts w:ascii="Arial" w:eastAsia="Luxi Sans" w:hAnsi="Arial" w:cs="Arial"/>
          <w:bCs/>
        </w:rPr>
        <w:t xml:space="preserve">à Turma Nacional de Uniformização da Jurisprudência </w:t>
      </w:r>
      <w:r>
        <w:rPr>
          <w:rFonts w:ascii="Arial" w:eastAsia="Luxi Sans" w:hAnsi="Arial" w:cs="Arial"/>
          <w:bCs/>
        </w:rPr>
        <w:t xml:space="preserve">está positivado </w:t>
      </w:r>
      <w:r w:rsidRPr="001E0CE6">
        <w:rPr>
          <w:rFonts w:ascii="Arial" w:eastAsia="Luxi Sans" w:hAnsi="Arial" w:cs="Arial"/>
          <w:bCs/>
          <w:u w:val="single"/>
        </w:rPr>
        <w:t xml:space="preserve">no artigo </w:t>
      </w:r>
      <w:r w:rsidR="00914056" w:rsidRPr="001E0CE6">
        <w:rPr>
          <w:rFonts w:ascii="Arial" w:eastAsia="Luxi Sans" w:hAnsi="Arial" w:cs="Arial"/>
          <w:bCs/>
          <w:u w:val="single"/>
        </w:rPr>
        <w:t>14,</w:t>
      </w:r>
      <w:r w:rsidR="004F3E72">
        <w:rPr>
          <w:rFonts w:ascii="Arial" w:eastAsia="Luxi Sans" w:hAnsi="Arial" w:cs="Arial"/>
          <w:bCs/>
          <w:u w:val="single"/>
        </w:rPr>
        <w:t xml:space="preserve"> </w:t>
      </w:r>
      <w:r w:rsidR="009E4395" w:rsidRPr="001E0CE6">
        <w:rPr>
          <w:rFonts w:ascii="Arial" w:eastAsia="Luxi Sans" w:hAnsi="Arial" w:cs="Arial"/>
          <w:bCs/>
          <w:u w:val="single"/>
        </w:rPr>
        <w:t>§ 2º</w:t>
      </w:r>
      <w:r w:rsidRPr="001E0CE6">
        <w:rPr>
          <w:rFonts w:ascii="Arial" w:eastAsia="Luxi Sans" w:hAnsi="Arial" w:cs="Arial"/>
          <w:bCs/>
          <w:u w:val="single"/>
        </w:rPr>
        <w:t xml:space="preserve"> da Lei 10259/2001</w:t>
      </w:r>
      <w:r>
        <w:rPr>
          <w:rFonts w:ascii="Arial" w:eastAsia="Luxi Sans" w:hAnsi="Arial" w:cs="Arial"/>
          <w:bCs/>
        </w:rPr>
        <w:t xml:space="preserve">, sendo um Incidente </w:t>
      </w:r>
      <w:r w:rsidR="006E6011">
        <w:rPr>
          <w:rFonts w:ascii="Arial" w:eastAsia="Luxi Sans" w:hAnsi="Arial" w:cs="Arial"/>
          <w:bCs/>
        </w:rPr>
        <w:t xml:space="preserve">processual </w:t>
      </w:r>
      <w:r w:rsidR="00CF6915">
        <w:rPr>
          <w:rFonts w:ascii="Arial" w:eastAsia="Luxi Sans" w:hAnsi="Arial" w:cs="Arial"/>
          <w:bCs/>
        </w:rPr>
        <w:t>que tem como o objeto a uniformização da interpretação da Lei Federal diante de divergência entre o acórdão da Turma Recursal dos JEF’s com a jurisprudência dominante do STJ ou da TNU.</w:t>
      </w:r>
    </w:p>
    <w:p w:rsidR="001E0CE6" w:rsidRDefault="001E0CE6" w:rsidP="00541A5A">
      <w:pPr>
        <w:ind w:firstLine="1134"/>
        <w:jc w:val="both"/>
        <w:rPr>
          <w:rFonts w:ascii="Arial" w:eastAsia="Luxi Sans" w:hAnsi="Arial" w:cs="Arial"/>
          <w:bCs/>
        </w:rPr>
      </w:pPr>
      <w:r w:rsidRPr="007C4BFE">
        <w:rPr>
          <w:rFonts w:ascii="Arial" w:eastAsia="Luxi Sans" w:hAnsi="Arial" w:cs="Arial"/>
          <w:bCs/>
          <w:u w:val="single"/>
        </w:rPr>
        <w:t>O IRDR</w:t>
      </w:r>
      <w:r>
        <w:rPr>
          <w:rFonts w:ascii="Arial" w:eastAsia="Luxi Sans" w:hAnsi="Arial" w:cs="Arial"/>
          <w:bCs/>
        </w:rPr>
        <w:t xml:space="preserve">- Incidente de Resolução de Demandas Repetitivas é um novo instrumento processual, também com natureza jurídica de incidente de uniformização, mas trazido ao mundo jurídico pelo NCPC, </w:t>
      </w:r>
      <w:r w:rsidR="007C4BFE">
        <w:rPr>
          <w:rFonts w:ascii="Arial" w:eastAsia="Luxi Sans" w:hAnsi="Arial" w:cs="Arial"/>
          <w:bCs/>
        </w:rPr>
        <w:t xml:space="preserve">tendo seu cabimento disciplinado </w:t>
      </w:r>
      <w:r w:rsidR="00CE6315">
        <w:rPr>
          <w:rFonts w:ascii="Arial" w:eastAsia="Luxi Sans" w:hAnsi="Arial" w:cs="Arial"/>
          <w:bCs/>
        </w:rPr>
        <w:t>pelo seu</w:t>
      </w:r>
      <w:r>
        <w:rPr>
          <w:rFonts w:ascii="Arial" w:eastAsia="Luxi Sans" w:hAnsi="Arial" w:cs="Arial"/>
          <w:bCs/>
        </w:rPr>
        <w:t xml:space="preserve"> art. 97</w:t>
      </w:r>
      <w:r w:rsidR="009D70A0">
        <w:rPr>
          <w:rFonts w:ascii="Arial" w:eastAsia="Luxi Sans" w:hAnsi="Arial" w:cs="Arial"/>
          <w:bCs/>
        </w:rPr>
        <w:t>6</w:t>
      </w:r>
      <w:r w:rsidR="007C4BFE">
        <w:rPr>
          <w:rFonts w:ascii="Arial" w:eastAsia="Luxi Sans" w:hAnsi="Arial" w:cs="Arial"/>
          <w:bCs/>
        </w:rPr>
        <w:t>, caput, e Incisos I e II do CPC:2015.</w:t>
      </w:r>
      <w:r w:rsidR="009D70A0">
        <w:rPr>
          <w:rFonts w:ascii="Arial" w:eastAsia="Luxi Sans" w:hAnsi="Arial" w:cs="Arial"/>
          <w:bCs/>
        </w:rPr>
        <w:t xml:space="preserve"> Especificamente no inciso II do art. 976 do CPC é que se extrai a interpretação de que </w:t>
      </w:r>
      <w:r w:rsidR="001F4828">
        <w:rPr>
          <w:rFonts w:ascii="Arial" w:eastAsia="Luxi Sans" w:hAnsi="Arial" w:cs="Arial"/>
          <w:bCs/>
        </w:rPr>
        <w:t>o que se busca com esse Incidente é a solução</w:t>
      </w:r>
      <w:r w:rsidR="0036484E">
        <w:rPr>
          <w:rFonts w:ascii="Arial" w:eastAsia="Luxi Sans" w:hAnsi="Arial" w:cs="Arial"/>
          <w:bCs/>
        </w:rPr>
        <w:t xml:space="preserve"> com norte na </w:t>
      </w:r>
      <w:r w:rsidR="00B37A62">
        <w:rPr>
          <w:rFonts w:ascii="Arial" w:eastAsia="Luxi Sans" w:hAnsi="Arial" w:cs="Arial"/>
          <w:bCs/>
        </w:rPr>
        <w:t>“segurança</w:t>
      </w:r>
      <w:r w:rsidR="0036484E">
        <w:rPr>
          <w:rFonts w:ascii="Arial" w:eastAsia="Luxi Sans" w:hAnsi="Arial" w:cs="Arial"/>
          <w:bCs/>
        </w:rPr>
        <w:t xml:space="preserve"> jurídica”</w:t>
      </w:r>
      <w:r w:rsidR="001F4828">
        <w:rPr>
          <w:rFonts w:ascii="Arial" w:eastAsia="Luxi Sans" w:hAnsi="Arial" w:cs="Arial"/>
          <w:bCs/>
        </w:rPr>
        <w:t xml:space="preserve"> para divergência de interpretações sobre a Lei no âmbito do primeiro</w:t>
      </w:r>
      <w:r w:rsidR="00B37A62">
        <w:rPr>
          <w:rFonts w:ascii="Arial" w:eastAsia="Luxi Sans" w:hAnsi="Arial" w:cs="Arial"/>
          <w:bCs/>
        </w:rPr>
        <w:t xml:space="preserve"> e segundo graus</w:t>
      </w:r>
      <w:r w:rsidR="001F4828">
        <w:rPr>
          <w:rFonts w:ascii="Arial" w:eastAsia="Luxi Sans" w:hAnsi="Arial" w:cs="Arial"/>
          <w:bCs/>
        </w:rPr>
        <w:t>, sem ressalvas para decisões das Varas Comuns ou dos Juizados Especiais Federais</w:t>
      </w:r>
      <w:r w:rsidR="00B37A62">
        <w:rPr>
          <w:rFonts w:ascii="Arial" w:eastAsia="Luxi Sans" w:hAnsi="Arial" w:cs="Arial"/>
          <w:bCs/>
        </w:rPr>
        <w:t>, ou das Turmas Recursais dos JEF’s</w:t>
      </w:r>
      <w:r w:rsidR="001F4828">
        <w:rPr>
          <w:rFonts w:ascii="Arial" w:eastAsia="Luxi Sans" w:hAnsi="Arial" w:cs="Arial"/>
          <w:bCs/>
        </w:rPr>
        <w:t>.</w:t>
      </w:r>
      <w:r w:rsidR="0036484E">
        <w:rPr>
          <w:rFonts w:ascii="Arial" w:eastAsia="Luxi Sans" w:hAnsi="Arial" w:cs="Arial"/>
          <w:bCs/>
        </w:rPr>
        <w:t xml:space="preserve"> O </w:t>
      </w:r>
      <w:r w:rsidR="0036484E">
        <w:rPr>
          <w:rFonts w:ascii="Arial" w:eastAsia="Luxi Sans" w:hAnsi="Arial" w:cs="Arial"/>
          <w:bCs/>
        </w:rPr>
        <w:lastRenderedPageBreak/>
        <w:t>que se busca com o IRDR é que a matéria</w:t>
      </w:r>
      <w:r w:rsidR="00B37A62">
        <w:rPr>
          <w:rFonts w:ascii="Arial" w:eastAsia="Luxi Sans" w:hAnsi="Arial" w:cs="Arial"/>
          <w:bCs/>
        </w:rPr>
        <w:t xml:space="preserve"> a ser</w:t>
      </w:r>
      <w:r w:rsidR="0036484E">
        <w:rPr>
          <w:rFonts w:ascii="Arial" w:eastAsia="Luxi Sans" w:hAnsi="Arial" w:cs="Arial"/>
          <w:bCs/>
        </w:rPr>
        <w:t xml:space="preserve"> pacificada</w:t>
      </w:r>
      <w:r w:rsidR="00CE6315">
        <w:rPr>
          <w:rFonts w:ascii="Arial" w:eastAsia="Luxi Sans" w:hAnsi="Arial" w:cs="Arial"/>
          <w:bCs/>
        </w:rPr>
        <w:t xml:space="preserve"> </w:t>
      </w:r>
      <w:r w:rsidR="00DA6D51">
        <w:rPr>
          <w:rFonts w:ascii="Arial" w:eastAsia="Luxi Sans" w:hAnsi="Arial" w:cs="Arial"/>
          <w:bCs/>
        </w:rPr>
        <w:t>(pelo</w:t>
      </w:r>
      <w:r w:rsidR="00CE6315">
        <w:rPr>
          <w:rFonts w:ascii="Arial" w:eastAsia="Luxi Sans" w:hAnsi="Arial" w:cs="Arial"/>
          <w:bCs/>
        </w:rPr>
        <w:t xml:space="preserve"> IRDR) </w:t>
      </w:r>
      <w:r w:rsidR="0036484E">
        <w:rPr>
          <w:rFonts w:ascii="Arial" w:eastAsia="Luxi Sans" w:hAnsi="Arial" w:cs="Arial"/>
          <w:bCs/>
        </w:rPr>
        <w:t>no</w:t>
      </w:r>
      <w:r w:rsidR="00B37A62">
        <w:rPr>
          <w:rFonts w:ascii="Arial" w:eastAsia="Luxi Sans" w:hAnsi="Arial" w:cs="Arial"/>
          <w:bCs/>
        </w:rPr>
        <w:t xml:space="preserve"> âmbito do</w:t>
      </w:r>
      <w:r w:rsidR="0036484E">
        <w:rPr>
          <w:rFonts w:ascii="Arial" w:eastAsia="Luxi Sans" w:hAnsi="Arial" w:cs="Arial"/>
          <w:bCs/>
        </w:rPr>
        <w:t xml:space="preserve"> Tribunal Regional Federal seja seguida n</w:t>
      </w:r>
      <w:r w:rsidR="00B37A62">
        <w:rPr>
          <w:rFonts w:ascii="Arial" w:eastAsia="Luxi Sans" w:hAnsi="Arial" w:cs="Arial"/>
          <w:bCs/>
        </w:rPr>
        <w:t>os julgamentos de primeiro e segundo graus</w:t>
      </w:r>
      <w:r w:rsidR="00AA3EA9">
        <w:rPr>
          <w:rFonts w:ascii="Arial" w:eastAsia="Luxi Sans" w:hAnsi="Arial" w:cs="Arial"/>
          <w:bCs/>
        </w:rPr>
        <w:t xml:space="preserve"> da sua respectiva região.</w:t>
      </w:r>
    </w:p>
    <w:p w:rsidR="0036484E" w:rsidRDefault="00AA3EA9" w:rsidP="00541A5A">
      <w:pPr>
        <w:ind w:firstLine="1134"/>
        <w:jc w:val="both"/>
        <w:rPr>
          <w:rFonts w:ascii="Arial" w:eastAsia="Luxi Sans" w:hAnsi="Arial" w:cs="Arial"/>
          <w:bCs/>
        </w:rPr>
      </w:pPr>
      <w:r>
        <w:rPr>
          <w:rFonts w:ascii="Arial" w:eastAsia="Luxi Sans" w:hAnsi="Arial" w:cs="Arial"/>
          <w:bCs/>
        </w:rPr>
        <w:t>No</w:t>
      </w:r>
      <w:r w:rsidR="0036484E">
        <w:rPr>
          <w:rFonts w:ascii="Arial" w:eastAsia="Luxi Sans" w:hAnsi="Arial" w:cs="Arial"/>
          <w:bCs/>
        </w:rPr>
        <w:t xml:space="preserve"> caso do PEDILEF, pede-se que as decisões das Turmas Recursais dos JEF’s sigam o que que foi pacificado pelo STJ ou TNU. </w:t>
      </w:r>
    </w:p>
    <w:p w:rsidR="0036484E" w:rsidRDefault="0036484E" w:rsidP="00541A5A">
      <w:pPr>
        <w:ind w:firstLine="1134"/>
        <w:jc w:val="both"/>
        <w:rPr>
          <w:rFonts w:ascii="Arial" w:eastAsia="Luxi Sans" w:hAnsi="Arial" w:cs="Arial"/>
          <w:bCs/>
        </w:rPr>
      </w:pPr>
      <w:r>
        <w:rPr>
          <w:rFonts w:ascii="Arial" w:eastAsia="Luxi Sans" w:hAnsi="Arial" w:cs="Arial"/>
          <w:bCs/>
        </w:rPr>
        <w:t xml:space="preserve">No caso do IRDR, pede-se que as decisões do primeiro grau </w:t>
      </w:r>
      <w:r w:rsidR="002174CD">
        <w:rPr>
          <w:rFonts w:ascii="Arial" w:eastAsia="Luxi Sans" w:hAnsi="Arial" w:cs="Arial"/>
          <w:bCs/>
        </w:rPr>
        <w:t>(tanto</w:t>
      </w:r>
      <w:r>
        <w:rPr>
          <w:rFonts w:ascii="Arial" w:eastAsia="Luxi Sans" w:hAnsi="Arial" w:cs="Arial"/>
          <w:bCs/>
        </w:rPr>
        <w:t xml:space="preserve"> dos JEF’s</w:t>
      </w:r>
      <w:r w:rsidR="002174CD">
        <w:rPr>
          <w:rFonts w:ascii="Arial" w:eastAsia="Luxi Sans" w:hAnsi="Arial" w:cs="Arial"/>
          <w:bCs/>
        </w:rPr>
        <w:t>, que nesse caso abarcam as decisões das Turmas Recursais, quanto das varas comuns) sucumbam à pacificação da matéria no âmbito do respectivo Tribunal Regional Federal</w:t>
      </w:r>
      <w:r w:rsidR="00AA3EA9">
        <w:rPr>
          <w:rFonts w:ascii="Arial" w:eastAsia="Luxi Sans" w:hAnsi="Arial" w:cs="Arial"/>
          <w:bCs/>
        </w:rPr>
        <w:t xml:space="preserve"> ( que pode interpretar a matéria a seu modo, mas preferivelmente seguindo a orientação do STJ e do STF, quando já discutidas as questões primárias trazidas à baila, em alguns casos, apenas para resolver situações postas em distinguinsh</w:t>
      </w:r>
      <w:r w:rsidR="00C36357">
        <w:rPr>
          <w:rFonts w:ascii="Arial" w:eastAsia="Luxi Sans" w:hAnsi="Arial" w:cs="Arial"/>
          <w:bCs/>
        </w:rPr>
        <w:t xml:space="preserve"> ou mesmo para provocar reorientação de entendimento a partir de orverrruling</w:t>
      </w:r>
      <w:r w:rsidR="00AA3EA9">
        <w:rPr>
          <w:rFonts w:ascii="Arial" w:eastAsia="Luxi Sans" w:hAnsi="Arial" w:cs="Arial"/>
          <w:bCs/>
        </w:rPr>
        <w:t>)</w:t>
      </w:r>
      <w:r w:rsidR="002174CD">
        <w:rPr>
          <w:rFonts w:ascii="Arial" w:eastAsia="Luxi Sans" w:hAnsi="Arial" w:cs="Arial"/>
          <w:bCs/>
        </w:rPr>
        <w:t>.</w:t>
      </w:r>
    </w:p>
    <w:p w:rsidR="002174CD" w:rsidRDefault="002174CD" w:rsidP="00541A5A">
      <w:pPr>
        <w:ind w:firstLine="1134"/>
        <w:jc w:val="both"/>
        <w:rPr>
          <w:rFonts w:ascii="Arial" w:eastAsia="Luxi Sans" w:hAnsi="Arial" w:cs="Arial"/>
          <w:bCs/>
        </w:rPr>
      </w:pPr>
      <w:r>
        <w:rPr>
          <w:rFonts w:ascii="Arial" w:eastAsia="Luxi Sans" w:hAnsi="Arial" w:cs="Arial"/>
          <w:bCs/>
        </w:rPr>
        <w:t xml:space="preserve">Portanto, as partes litigantes no âmbito do Tribunal Regional Federal, que </w:t>
      </w:r>
      <w:r w:rsidR="00C83094">
        <w:rPr>
          <w:rFonts w:ascii="Arial" w:eastAsia="Luxi Sans" w:hAnsi="Arial" w:cs="Arial"/>
          <w:bCs/>
        </w:rPr>
        <w:t>estejam submetidos à jurisdição dos JEF’s, podem interpor IRDR, sem prejuízo, inclusive, de propor o respectivo Incidente de Uniformização da Jurisprudência perante a TNU ou TRU. E foi assim que o Conselho de justiça Federal disciplinou no art. 14, §</w:t>
      </w:r>
      <w:r w:rsidR="00F67D8D">
        <w:rPr>
          <w:rFonts w:ascii="Arial" w:eastAsia="Luxi Sans" w:hAnsi="Arial" w:cs="Arial"/>
          <w:bCs/>
        </w:rPr>
        <w:t>4</w:t>
      </w:r>
      <w:r w:rsidR="00914056">
        <w:rPr>
          <w:rFonts w:ascii="Arial" w:eastAsia="Luxi Sans" w:hAnsi="Arial" w:cs="Arial"/>
          <w:bCs/>
        </w:rPr>
        <w:t>º,</w:t>
      </w:r>
      <w:r w:rsidR="00C83094">
        <w:rPr>
          <w:rFonts w:ascii="Arial" w:eastAsia="Luxi Sans" w:hAnsi="Arial" w:cs="Arial"/>
          <w:bCs/>
        </w:rPr>
        <w:t xml:space="preserve"> da Resolução 345/2015:</w:t>
      </w:r>
    </w:p>
    <w:p w:rsidR="00914056" w:rsidRDefault="00914056" w:rsidP="00541A5A">
      <w:pPr>
        <w:ind w:firstLine="1134"/>
        <w:jc w:val="both"/>
        <w:rPr>
          <w:rFonts w:ascii="Arial" w:eastAsia="Luxi Sans" w:hAnsi="Arial" w:cs="Arial"/>
          <w:bCs/>
        </w:rPr>
      </w:pPr>
    </w:p>
    <w:tbl>
      <w:tblPr>
        <w:tblStyle w:val="Tabelacomgrade"/>
        <w:tblW w:w="0" w:type="auto"/>
        <w:tblInd w:w="2263" w:type="dxa"/>
        <w:tblLook w:val="04A0" w:firstRow="1" w:lastRow="0" w:firstColumn="1" w:lastColumn="0" w:noHBand="0" w:noVBand="1"/>
      </w:tblPr>
      <w:tblGrid>
        <w:gridCol w:w="6799"/>
      </w:tblGrid>
      <w:tr w:rsidR="00F67D8D" w:rsidTr="00900D84">
        <w:tc>
          <w:tcPr>
            <w:tcW w:w="6799" w:type="dxa"/>
          </w:tcPr>
          <w:p w:rsidR="00F67D8D" w:rsidRPr="00F67D8D" w:rsidRDefault="00F67D8D" w:rsidP="00900D84">
            <w:pPr>
              <w:spacing w:line="240" w:lineRule="auto"/>
              <w:ind w:left="34"/>
              <w:jc w:val="both"/>
              <w:rPr>
                <w:rFonts w:ascii="Arial" w:hAnsi="Arial" w:cs="Arial"/>
                <w:i/>
                <w:sz w:val="18"/>
                <w:szCs w:val="18"/>
              </w:rPr>
            </w:pPr>
            <w:r>
              <w:rPr>
                <w:rFonts w:ascii="Arial" w:hAnsi="Arial" w:cs="Arial"/>
                <w:i/>
                <w:sz w:val="18"/>
                <w:szCs w:val="18"/>
              </w:rPr>
              <w:t>“</w:t>
            </w:r>
            <w:r w:rsidRPr="00F67D8D">
              <w:rPr>
                <w:rFonts w:ascii="Arial" w:hAnsi="Arial" w:cs="Arial"/>
                <w:i/>
                <w:sz w:val="18"/>
                <w:szCs w:val="18"/>
              </w:rPr>
              <w:t xml:space="preserve">Art. 14. O juízo preliminar de admissibilidade do pedido de uniformização será exercido pelo Presidente ou Vice-Presidente da Turma prolatora do acórdão recorrido. (NR) (Alterado pela Resolução n. 392, de 19/04/2016) </w:t>
            </w:r>
          </w:p>
          <w:p w:rsidR="00F67D8D" w:rsidRPr="00F67D8D" w:rsidRDefault="00F67D8D" w:rsidP="00900D84">
            <w:pPr>
              <w:spacing w:line="240" w:lineRule="auto"/>
              <w:ind w:left="34"/>
              <w:jc w:val="both"/>
              <w:rPr>
                <w:rFonts w:ascii="Arial" w:hAnsi="Arial" w:cs="Arial"/>
                <w:i/>
                <w:sz w:val="18"/>
                <w:szCs w:val="18"/>
              </w:rPr>
            </w:pPr>
            <w:r w:rsidRPr="00F67D8D">
              <w:rPr>
                <w:rFonts w:ascii="Arial" w:hAnsi="Arial" w:cs="Arial"/>
                <w:i/>
                <w:sz w:val="18"/>
                <w:szCs w:val="18"/>
              </w:rPr>
              <w:t xml:space="preserve">(...) </w:t>
            </w:r>
          </w:p>
          <w:p w:rsidR="00F67D8D" w:rsidRPr="00F67D8D" w:rsidRDefault="00F67D8D" w:rsidP="00900D84">
            <w:pPr>
              <w:spacing w:line="240" w:lineRule="auto"/>
              <w:ind w:left="34"/>
              <w:jc w:val="both"/>
              <w:rPr>
                <w:rFonts w:ascii="Arial" w:hAnsi="Arial" w:cs="Arial"/>
                <w:i/>
                <w:sz w:val="18"/>
                <w:szCs w:val="18"/>
              </w:rPr>
            </w:pPr>
          </w:p>
          <w:p w:rsidR="00F67D8D" w:rsidRDefault="00F67D8D" w:rsidP="00900D84">
            <w:pPr>
              <w:spacing w:line="240" w:lineRule="auto"/>
              <w:ind w:left="34"/>
              <w:jc w:val="both"/>
              <w:rPr>
                <w:rFonts w:ascii="Arial" w:eastAsia="Luxi Sans" w:hAnsi="Arial" w:cs="Arial"/>
                <w:bCs/>
              </w:rPr>
            </w:pPr>
            <w:r w:rsidRPr="00F67D8D">
              <w:rPr>
                <w:rFonts w:ascii="Arial" w:hAnsi="Arial" w:cs="Arial"/>
                <w:i/>
                <w:sz w:val="18"/>
                <w:szCs w:val="18"/>
              </w:rPr>
              <w:t xml:space="preserve">§ 4º </w:t>
            </w:r>
            <w:r w:rsidRPr="00900D84">
              <w:rPr>
                <w:rFonts w:ascii="Arial" w:hAnsi="Arial" w:cs="Arial"/>
                <w:b/>
                <w:i/>
                <w:sz w:val="18"/>
                <w:szCs w:val="18"/>
                <w:u w:val="single"/>
              </w:rPr>
              <w:t>A instauração de incidente de resolução de demandas repetitivas por tribunal regional federal não suspende os pedidos de uniformização nacional já admitidos pela Turma de origem,</w:t>
            </w:r>
            <w:r w:rsidRPr="00F67D8D">
              <w:rPr>
                <w:rFonts w:ascii="Arial" w:hAnsi="Arial" w:cs="Arial"/>
                <w:i/>
                <w:sz w:val="18"/>
                <w:szCs w:val="18"/>
              </w:rPr>
              <w:t xml:space="preserve"> exceto quando a suspensão abranger todo o território nacional. (NR) (Alterado pela Resolução n. 392, de 19/04/2016)</w:t>
            </w:r>
            <w:r>
              <w:rPr>
                <w:rFonts w:ascii="Arial" w:hAnsi="Arial" w:cs="Arial"/>
                <w:i/>
                <w:sz w:val="18"/>
                <w:szCs w:val="18"/>
              </w:rPr>
              <w:t>”</w:t>
            </w:r>
          </w:p>
        </w:tc>
      </w:tr>
    </w:tbl>
    <w:p w:rsidR="00F67D8D" w:rsidRDefault="00F67D8D" w:rsidP="00541A5A">
      <w:pPr>
        <w:ind w:firstLine="1134"/>
        <w:jc w:val="both"/>
        <w:rPr>
          <w:rFonts w:ascii="Arial" w:eastAsia="Luxi Sans" w:hAnsi="Arial" w:cs="Arial"/>
          <w:bCs/>
        </w:rPr>
      </w:pPr>
    </w:p>
    <w:p w:rsidR="00C83094" w:rsidRDefault="00900D84" w:rsidP="00900D84">
      <w:pPr>
        <w:ind w:firstLine="1134"/>
        <w:jc w:val="both"/>
        <w:rPr>
          <w:rFonts w:ascii="Arial" w:eastAsia="Luxi Sans" w:hAnsi="Arial" w:cs="Arial"/>
          <w:bCs/>
        </w:rPr>
      </w:pPr>
      <w:r>
        <w:rPr>
          <w:rFonts w:ascii="Arial" w:eastAsia="Luxi Sans" w:hAnsi="Arial" w:cs="Arial"/>
          <w:bCs/>
        </w:rPr>
        <w:t>Como se pode ver, o art. 14, §4, da Resolução 345/2015 do CJF vislumbra, claramente, o cabimento de ambos incidentes, o que deixa bem claro que o Tribunal Regional Federal é competente para conhecer e jugar IRDR de processo</w:t>
      </w:r>
      <w:r w:rsidR="00952CA5">
        <w:rPr>
          <w:rFonts w:ascii="Arial" w:eastAsia="Luxi Sans" w:hAnsi="Arial" w:cs="Arial"/>
          <w:bCs/>
        </w:rPr>
        <w:t>s</w:t>
      </w:r>
      <w:r>
        <w:rPr>
          <w:rFonts w:ascii="Arial" w:eastAsia="Luxi Sans" w:hAnsi="Arial" w:cs="Arial"/>
          <w:bCs/>
        </w:rPr>
        <w:t xml:space="preserve"> originário</w:t>
      </w:r>
      <w:r w:rsidR="00952CA5">
        <w:rPr>
          <w:rFonts w:ascii="Arial" w:eastAsia="Luxi Sans" w:hAnsi="Arial" w:cs="Arial"/>
          <w:bCs/>
        </w:rPr>
        <w:t>s</w:t>
      </w:r>
      <w:r>
        <w:rPr>
          <w:rFonts w:ascii="Arial" w:eastAsia="Luxi Sans" w:hAnsi="Arial" w:cs="Arial"/>
          <w:bCs/>
        </w:rPr>
        <w:t xml:space="preserve"> dos </w:t>
      </w:r>
      <w:r w:rsidR="00952CA5">
        <w:rPr>
          <w:rFonts w:ascii="Arial" w:eastAsia="Luxi Sans" w:hAnsi="Arial" w:cs="Arial"/>
          <w:bCs/>
        </w:rPr>
        <w:t>Juizados Especiais Federais, bem como daqueles originários das Varas comuns</w:t>
      </w:r>
      <w:r>
        <w:rPr>
          <w:rFonts w:ascii="Arial" w:eastAsia="Luxi Sans" w:hAnsi="Arial" w:cs="Arial"/>
          <w:bCs/>
        </w:rPr>
        <w:t>.</w:t>
      </w:r>
    </w:p>
    <w:p w:rsidR="00900D84" w:rsidRDefault="00900D84" w:rsidP="00D7415C">
      <w:pPr>
        <w:jc w:val="both"/>
        <w:rPr>
          <w:rFonts w:ascii="Arial" w:eastAsia="Luxi Sans" w:hAnsi="Arial" w:cs="Arial"/>
          <w:bCs/>
        </w:rPr>
      </w:pPr>
    </w:p>
    <w:p w:rsidR="00D7415C" w:rsidRPr="00D7415C" w:rsidRDefault="00DE638F" w:rsidP="00D74A7E">
      <w:pPr>
        <w:pStyle w:val="PargrafodaLista"/>
        <w:numPr>
          <w:ilvl w:val="1"/>
          <w:numId w:val="21"/>
        </w:numPr>
        <w:spacing w:line="240" w:lineRule="auto"/>
        <w:jc w:val="both"/>
        <w:rPr>
          <w:rFonts w:ascii="Arial" w:eastAsia="Luxi Sans" w:hAnsi="Arial" w:cs="Arial"/>
          <w:b/>
          <w:bCs/>
        </w:rPr>
      </w:pPr>
      <w:r>
        <w:rPr>
          <w:rFonts w:ascii="Arial" w:eastAsia="Luxi Sans" w:hAnsi="Arial" w:cs="Arial"/>
          <w:b/>
          <w:bCs/>
        </w:rPr>
        <w:t>Precedentes exemplificativos sobre a</w:t>
      </w:r>
      <w:r w:rsidR="00D74A7E">
        <w:rPr>
          <w:rFonts w:ascii="Arial" w:eastAsia="Luxi Sans" w:hAnsi="Arial" w:cs="Arial"/>
          <w:b/>
          <w:bCs/>
        </w:rPr>
        <w:t xml:space="preserve"> competência dos TRF’s para julgar IRDR com processo oriundo dos JEF’s</w:t>
      </w:r>
      <w:r w:rsidR="00D7415C">
        <w:rPr>
          <w:rFonts w:ascii="Arial" w:eastAsia="Luxi Sans" w:hAnsi="Arial" w:cs="Arial"/>
          <w:b/>
          <w:bCs/>
        </w:rPr>
        <w:t xml:space="preserve">: </w:t>
      </w:r>
    </w:p>
    <w:p w:rsidR="00C83094" w:rsidRDefault="00C83094" w:rsidP="00541A5A">
      <w:pPr>
        <w:ind w:firstLine="1134"/>
        <w:jc w:val="both"/>
        <w:rPr>
          <w:rFonts w:ascii="Arial" w:eastAsia="Luxi Sans" w:hAnsi="Arial" w:cs="Arial"/>
          <w:bCs/>
        </w:rPr>
      </w:pPr>
    </w:p>
    <w:p w:rsidR="002174CD" w:rsidRDefault="00D65622" w:rsidP="00D65622">
      <w:pPr>
        <w:ind w:firstLine="1134"/>
        <w:jc w:val="both"/>
        <w:rPr>
          <w:rFonts w:ascii="Arial" w:eastAsia="Luxi Sans" w:hAnsi="Arial" w:cs="Arial"/>
          <w:bCs/>
        </w:rPr>
      </w:pPr>
      <w:r>
        <w:rPr>
          <w:rFonts w:ascii="Arial" w:eastAsia="Luxi Sans" w:hAnsi="Arial" w:cs="Arial"/>
          <w:bCs/>
        </w:rPr>
        <w:lastRenderedPageBreak/>
        <w:t xml:space="preserve">Abaixo, </w:t>
      </w:r>
      <w:r w:rsidR="000A0E99">
        <w:rPr>
          <w:rFonts w:ascii="Arial" w:eastAsia="Luxi Sans" w:hAnsi="Arial" w:cs="Arial"/>
          <w:bCs/>
        </w:rPr>
        <w:t>apenas para que sirva de exemplo, já que estamos a tratar de um instituto processual tão novo, notícia</w:t>
      </w:r>
      <w:r w:rsidR="00E61B7D">
        <w:rPr>
          <w:rFonts w:ascii="Arial" w:eastAsia="Luxi Sans" w:hAnsi="Arial" w:cs="Arial"/>
          <w:bCs/>
        </w:rPr>
        <w:t>s</w:t>
      </w:r>
      <w:r w:rsidR="000A0E99">
        <w:rPr>
          <w:rFonts w:ascii="Arial" w:eastAsia="Luxi Sans" w:hAnsi="Arial" w:cs="Arial"/>
          <w:bCs/>
        </w:rPr>
        <w:t xml:space="preserve"> do TRF4</w:t>
      </w:r>
      <w:r>
        <w:rPr>
          <w:rFonts w:ascii="Arial" w:eastAsia="Luxi Sans" w:hAnsi="Arial" w:cs="Arial"/>
          <w:bCs/>
        </w:rPr>
        <w:t xml:space="preserve"> sobre precedente que demonstra, com clareza, que os Tribunais Regionais Federais são competentes para conhecer e julgar IRDR’s cujos processos originários sejam dos JEF’s:</w:t>
      </w:r>
    </w:p>
    <w:p w:rsidR="00DE638F" w:rsidRDefault="00DE638F" w:rsidP="00D65622">
      <w:pPr>
        <w:ind w:firstLine="1134"/>
        <w:jc w:val="both"/>
        <w:rPr>
          <w:rFonts w:ascii="Arial" w:eastAsia="Luxi Sans" w:hAnsi="Arial" w:cs="Arial"/>
          <w:bCs/>
        </w:rPr>
      </w:pPr>
    </w:p>
    <w:p w:rsidR="00D65622" w:rsidRPr="00D65622" w:rsidRDefault="005D43E4" w:rsidP="00C83924">
      <w:pPr>
        <w:spacing w:line="240" w:lineRule="auto"/>
        <w:ind w:left="2268"/>
        <w:jc w:val="both"/>
        <w:rPr>
          <w:rFonts w:ascii="Arial" w:hAnsi="Arial" w:cs="Arial"/>
          <w:i/>
          <w:color w:val="000000"/>
          <w:sz w:val="18"/>
          <w:szCs w:val="18"/>
        </w:rPr>
      </w:pPr>
      <w:r>
        <w:rPr>
          <w:rFonts w:ascii="Arial" w:hAnsi="Arial" w:cs="Arial"/>
          <w:i/>
          <w:color w:val="000000"/>
          <w:sz w:val="18"/>
          <w:szCs w:val="18"/>
        </w:rPr>
        <w:t>“</w:t>
      </w:r>
      <w:r w:rsidR="00D65622" w:rsidRPr="00D65622">
        <w:rPr>
          <w:rFonts w:ascii="Arial" w:hAnsi="Arial" w:cs="Arial"/>
          <w:i/>
          <w:color w:val="000000"/>
          <w:sz w:val="18"/>
          <w:szCs w:val="18"/>
        </w:rPr>
        <w:t>A 3ª Seção do Tribunal Regional Federal da 4ª Região (TRF4) admitiu, no final de agosto (23/8), outro Incidente de Resolução de Demandas Repetitivas (IRDR). O novo IRDR pretende uniformizar o entendimento sobre o que deve ser considerado prova suficiente para estabelecer a eficácia do equipamento de proteção individual (EPI) e, consequentemente, afastar o reconhecimento do tempo especial, após a decisão do Supremo Tribunal Federal (STF) no ARE 664335, que tratou do tema.</w:t>
      </w:r>
    </w:p>
    <w:p w:rsidR="00D65622" w:rsidRPr="00D65622" w:rsidRDefault="00D65622" w:rsidP="00C83924">
      <w:pPr>
        <w:spacing w:line="240" w:lineRule="auto"/>
        <w:ind w:left="2268"/>
        <w:jc w:val="both"/>
        <w:rPr>
          <w:rFonts w:ascii="Arial" w:hAnsi="Arial" w:cs="Arial"/>
          <w:i/>
          <w:color w:val="000000"/>
          <w:sz w:val="18"/>
          <w:szCs w:val="18"/>
        </w:rPr>
      </w:pPr>
      <w:r w:rsidRPr="00D65622">
        <w:rPr>
          <w:rFonts w:ascii="Arial" w:hAnsi="Arial" w:cs="Arial"/>
          <w:i/>
          <w:color w:val="000000"/>
          <w:sz w:val="18"/>
          <w:szCs w:val="18"/>
        </w:rPr>
        <w:t>Conforme o STF, o direito à aposentadoria especial pressupõe a efetiva exposição do trabalhador a agente nocivo à sua saúde, de modo que se o Equipamento de Proteção Individual (EPI) for realmente capaz de neutralizar a nocividade, não haverá respaldo à concessão constitucional de aposentadoria especial.</w:t>
      </w:r>
    </w:p>
    <w:p w:rsidR="00D65622" w:rsidRPr="00D65622" w:rsidRDefault="00D65622" w:rsidP="00C83924">
      <w:pPr>
        <w:spacing w:line="240" w:lineRule="auto"/>
        <w:ind w:left="2268"/>
        <w:jc w:val="both"/>
        <w:rPr>
          <w:rFonts w:ascii="Arial" w:hAnsi="Arial" w:cs="Arial"/>
          <w:i/>
          <w:color w:val="000000"/>
          <w:sz w:val="18"/>
          <w:szCs w:val="18"/>
        </w:rPr>
      </w:pPr>
      <w:r w:rsidRPr="00D65622">
        <w:rPr>
          <w:rFonts w:ascii="Arial" w:hAnsi="Arial" w:cs="Arial"/>
          <w:b/>
          <w:i/>
          <w:color w:val="000000"/>
          <w:sz w:val="18"/>
          <w:szCs w:val="18"/>
          <w:u w:val="single"/>
        </w:rPr>
        <w:t>O incidente foi suscitado pelo autor de um processo que tramita em uma turma recursal dos Juizados Especiais Federais (JEF) da 4ª Região</w:t>
      </w:r>
      <w:r w:rsidRPr="00D65622">
        <w:rPr>
          <w:rFonts w:ascii="Arial" w:hAnsi="Arial" w:cs="Arial"/>
          <w:i/>
          <w:color w:val="000000"/>
          <w:sz w:val="18"/>
          <w:szCs w:val="18"/>
        </w:rPr>
        <w:t>. Segundo o autor, há divergências entre as decisões das Turmas Regionais dos JEFs e os julgados do tribunal.</w:t>
      </w:r>
    </w:p>
    <w:p w:rsidR="00D65622" w:rsidRPr="00C83924" w:rsidRDefault="00D65622" w:rsidP="00C83924">
      <w:pPr>
        <w:spacing w:line="240" w:lineRule="auto"/>
        <w:ind w:left="2268"/>
        <w:jc w:val="both"/>
        <w:rPr>
          <w:rFonts w:ascii="Arial" w:hAnsi="Arial" w:cs="Arial"/>
          <w:i/>
          <w:color w:val="000000"/>
          <w:sz w:val="18"/>
          <w:szCs w:val="18"/>
        </w:rPr>
      </w:pPr>
      <w:r w:rsidRPr="00D65622">
        <w:rPr>
          <w:rFonts w:ascii="Arial" w:hAnsi="Arial" w:cs="Arial"/>
          <w:i/>
          <w:color w:val="000000"/>
          <w:sz w:val="18"/>
          <w:szCs w:val="18"/>
        </w:rPr>
        <w:t xml:space="preserve">Uma das vertentes jurisprudenciais entende que a simples declaração unilateral do empregador, no Perfil Profissionográfico Previdenciário, de fornecimento de </w:t>
      </w:r>
      <w:proofErr w:type="gramStart"/>
      <w:r w:rsidRPr="00D65622">
        <w:rPr>
          <w:rFonts w:ascii="Arial" w:hAnsi="Arial" w:cs="Arial"/>
          <w:i/>
          <w:color w:val="000000"/>
          <w:sz w:val="18"/>
          <w:szCs w:val="18"/>
        </w:rPr>
        <w:t>equipamentos  de</w:t>
      </w:r>
      <w:proofErr w:type="gramEnd"/>
      <w:r w:rsidRPr="00D65622">
        <w:rPr>
          <w:rFonts w:ascii="Arial" w:hAnsi="Arial" w:cs="Arial"/>
          <w:i/>
          <w:color w:val="000000"/>
          <w:sz w:val="18"/>
          <w:szCs w:val="18"/>
        </w:rPr>
        <w:t xml:space="preserve"> proteção individual, serviria para a comprovação efetiva da neutralização do agente nocivo.</w:t>
      </w:r>
    </w:p>
    <w:p w:rsidR="00C83924" w:rsidRPr="00C83924" w:rsidRDefault="00C83924" w:rsidP="00C83924">
      <w:pPr>
        <w:spacing w:line="240" w:lineRule="auto"/>
        <w:ind w:left="2268"/>
        <w:jc w:val="both"/>
        <w:rPr>
          <w:rFonts w:ascii="Arial" w:hAnsi="Arial" w:cs="Arial"/>
          <w:i/>
          <w:color w:val="000000"/>
          <w:sz w:val="18"/>
          <w:szCs w:val="18"/>
        </w:rPr>
      </w:pPr>
      <w:r w:rsidRPr="00C83924">
        <w:rPr>
          <w:rFonts w:ascii="Arial" w:hAnsi="Arial" w:cs="Arial"/>
          <w:i/>
          <w:color w:val="000000"/>
          <w:sz w:val="18"/>
          <w:szCs w:val="18"/>
        </w:rPr>
        <w:t xml:space="preserve">(...) </w:t>
      </w:r>
    </w:p>
    <w:p w:rsidR="00C83924" w:rsidRPr="00C83924" w:rsidRDefault="00C83924" w:rsidP="00C83924">
      <w:pPr>
        <w:spacing w:line="240" w:lineRule="auto"/>
        <w:ind w:left="2268"/>
        <w:jc w:val="both"/>
        <w:rPr>
          <w:rFonts w:ascii="Arial" w:hAnsi="Arial" w:cs="Arial"/>
          <w:i/>
          <w:color w:val="000000"/>
          <w:sz w:val="18"/>
          <w:szCs w:val="18"/>
        </w:rPr>
      </w:pPr>
    </w:p>
    <w:p w:rsidR="00C83924" w:rsidRDefault="00C83924" w:rsidP="00A523FD">
      <w:pPr>
        <w:pStyle w:val="NormalWeb"/>
        <w:spacing w:before="0" w:beforeAutospacing="0" w:after="0" w:afterAutospacing="0" w:line="240" w:lineRule="auto"/>
        <w:ind w:left="2268"/>
        <w:jc w:val="both"/>
        <w:rPr>
          <w:rFonts w:ascii="Arial" w:hAnsi="Arial" w:cs="Arial"/>
          <w:i/>
          <w:color w:val="000000" w:themeColor="text1"/>
          <w:sz w:val="18"/>
          <w:szCs w:val="18"/>
        </w:rPr>
      </w:pPr>
      <w:r w:rsidRPr="005D43E4">
        <w:rPr>
          <w:rFonts w:ascii="Arial" w:hAnsi="Arial" w:cs="Arial"/>
          <w:b/>
          <w:i/>
          <w:sz w:val="18"/>
          <w:szCs w:val="18"/>
        </w:rPr>
        <w:t>Com a criação do IRDR, cada Tribunal Regional Federal ou Tribunal de Justiça pode criar Temas Repetitivos com abrangência em todo o território de sua jurisdição. Firmado o entendimento, os incidentes irão nortear as decisões de primeiro grau, dos Juizados Especiais Federais e do tribunal na 4ª Região</w:t>
      </w:r>
      <w:r w:rsidRPr="00C83924">
        <w:rPr>
          <w:rFonts w:ascii="Arial" w:hAnsi="Arial" w:cs="Arial"/>
          <w:i/>
          <w:sz w:val="18"/>
          <w:szCs w:val="18"/>
        </w:rPr>
        <w:t>.</w:t>
      </w:r>
      <w:r w:rsidRPr="00C83924">
        <w:rPr>
          <w:rFonts w:ascii="Arial" w:hAnsi="Arial" w:cs="Arial"/>
          <w:i/>
          <w:sz w:val="18"/>
          <w:szCs w:val="18"/>
        </w:rPr>
        <w:br/>
        <w:t>A consulta à relação dos IRDR's admitidos pelo TRF da 4ª Região pode ser realizada na página do Tribunal na Internet, em </w:t>
      </w:r>
      <w:hyperlink r:id="rId8" w:history="1">
        <w:r w:rsidRPr="00A523FD">
          <w:rPr>
            <w:rStyle w:val="Hyperlink"/>
            <w:rFonts w:ascii="Arial" w:hAnsi="Arial" w:cs="Arial"/>
            <w:bCs/>
            <w:i/>
            <w:color w:val="000000" w:themeColor="text1"/>
            <w:sz w:val="18"/>
            <w:szCs w:val="18"/>
            <w:bdr w:val="none" w:sz="0" w:space="0" w:color="auto" w:frame="1"/>
          </w:rPr>
          <w:t>"Serviços Judiciais/Demandas Repetitivas/IRDR"</w:t>
        </w:r>
      </w:hyperlink>
      <w:r w:rsidRPr="00A523FD">
        <w:rPr>
          <w:rFonts w:ascii="Arial" w:hAnsi="Arial" w:cs="Arial"/>
          <w:i/>
          <w:color w:val="000000" w:themeColor="text1"/>
          <w:sz w:val="18"/>
          <w:szCs w:val="18"/>
        </w:rPr>
        <w:t>.</w:t>
      </w:r>
      <w:r w:rsidR="00C94BF6" w:rsidRPr="00A523FD">
        <w:rPr>
          <w:rFonts w:ascii="Arial" w:hAnsi="Arial" w:cs="Arial"/>
          <w:i/>
          <w:color w:val="000000" w:themeColor="text1"/>
          <w:sz w:val="18"/>
          <w:szCs w:val="18"/>
        </w:rPr>
        <w:t xml:space="preserve"> IRDR: </w:t>
      </w:r>
      <w:hyperlink r:id="rId9" w:history="1">
        <w:r w:rsidRPr="00A523FD">
          <w:rPr>
            <w:rStyle w:val="Hyperlink"/>
            <w:rFonts w:ascii="Arial" w:hAnsi="Arial" w:cs="Arial"/>
            <w:bCs/>
            <w:i/>
            <w:color w:val="000000" w:themeColor="text1"/>
            <w:sz w:val="18"/>
            <w:szCs w:val="18"/>
            <w:bdr w:val="none" w:sz="0" w:space="0" w:color="auto" w:frame="1"/>
          </w:rPr>
          <w:t>50543417720164040000/TRF</w:t>
        </w:r>
      </w:hyperlink>
      <w:r w:rsidR="00A523FD" w:rsidRPr="00A523FD">
        <w:rPr>
          <w:rFonts w:ascii="Arial" w:hAnsi="Arial" w:cs="Arial"/>
          <w:i/>
          <w:color w:val="000000" w:themeColor="text1"/>
          <w:sz w:val="18"/>
          <w:szCs w:val="18"/>
        </w:rPr>
        <w:t>”</w:t>
      </w:r>
      <w:r w:rsidR="00A523FD">
        <w:rPr>
          <w:rFonts w:ascii="Arial" w:hAnsi="Arial" w:cs="Arial"/>
          <w:i/>
          <w:color w:val="000000" w:themeColor="text1"/>
          <w:sz w:val="18"/>
          <w:szCs w:val="18"/>
        </w:rPr>
        <w:t xml:space="preserve"> </w:t>
      </w:r>
      <w:proofErr w:type="gramStart"/>
      <w:r w:rsidR="00A523FD">
        <w:rPr>
          <w:rFonts w:ascii="Arial" w:hAnsi="Arial" w:cs="Arial"/>
          <w:i/>
          <w:color w:val="000000" w:themeColor="text1"/>
          <w:sz w:val="18"/>
          <w:szCs w:val="18"/>
        </w:rPr>
        <w:t>( grifamos</w:t>
      </w:r>
      <w:proofErr w:type="gramEnd"/>
      <w:r w:rsidR="00A523FD">
        <w:rPr>
          <w:rFonts w:ascii="Arial" w:hAnsi="Arial" w:cs="Arial"/>
          <w:i/>
          <w:color w:val="000000" w:themeColor="text1"/>
          <w:sz w:val="18"/>
          <w:szCs w:val="18"/>
        </w:rPr>
        <w:t>)</w:t>
      </w:r>
    </w:p>
    <w:p w:rsidR="008E52C0" w:rsidRDefault="008E52C0" w:rsidP="00A523FD">
      <w:pPr>
        <w:pStyle w:val="NormalWeb"/>
        <w:spacing w:before="0" w:beforeAutospacing="0" w:after="0" w:afterAutospacing="0" w:line="240" w:lineRule="auto"/>
        <w:ind w:left="2268"/>
        <w:jc w:val="both"/>
        <w:rPr>
          <w:rFonts w:ascii="Arial" w:hAnsi="Arial" w:cs="Arial"/>
          <w:i/>
          <w:sz w:val="18"/>
          <w:szCs w:val="18"/>
        </w:rPr>
      </w:pPr>
    </w:p>
    <w:p w:rsidR="008E52C0" w:rsidRDefault="008E52C0" w:rsidP="008E52C0">
      <w:pPr>
        <w:pStyle w:val="NormalWeb"/>
        <w:spacing w:before="0" w:beforeAutospacing="0" w:after="0" w:afterAutospacing="0" w:line="240" w:lineRule="auto"/>
        <w:ind w:left="2268"/>
        <w:jc w:val="both"/>
        <w:rPr>
          <w:rFonts w:ascii="Arial" w:hAnsi="Arial" w:cs="Arial"/>
          <w:i/>
          <w:sz w:val="18"/>
          <w:szCs w:val="18"/>
        </w:rPr>
      </w:pPr>
    </w:p>
    <w:p w:rsidR="008E52C0" w:rsidRPr="008E52C0" w:rsidRDefault="008E52C0" w:rsidP="008E52C0">
      <w:pPr>
        <w:pStyle w:val="NormalWeb"/>
        <w:spacing w:before="0" w:beforeAutospacing="0" w:after="0" w:afterAutospacing="0" w:line="240" w:lineRule="auto"/>
        <w:ind w:left="2268"/>
        <w:jc w:val="both"/>
        <w:rPr>
          <w:rFonts w:ascii="Arial" w:hAnsi="Arial" w:cs="Arial"/>
          <w:b/>
          <w:i/>
          <w:sz w:val="18"/>
          <w:szCs w:val="18"/>
        </w:rPr>
      </w:pPr>
      <w:r>
        <w:rPr>
          <w:rFonts w:ascii="Arial" w:hAnsi="Arial" w:cs="Arial"/>
          <w:i/>
          <w:sz w:val="18"/>
          <w:szCs w:val="18"/>
        </w:rPr>
        <w:t>“</w:t>
      </w:r>
      <w:r w:rsidRPr="008E52C0">
        <w:rPr>
          <w:rFonts w:ascii="Arial" w:hAnsi="Arial" w:cs="Arial"/>
          <w:i/>
          <w:sz w:val="18"/>
          <w:szCs w:val="18"/>
        </w:rPr>
        <w:t xml:space="preserve">A Corte Especial do Tribunal Regional Federal da 4ª Região (TRF4) julgou procedente, no final de abril (27/4), um Incidente de Resolução de Demandas Repetitivas (IRDR) proposto por um médico de Florianópolis. No incidente, </w:t>
      </w:r>
      <w:r w:rsidRPr="008E52C0">
        <w:rPr>
          <w:rFonts w:ascii="Arial" w:hAnsi="Arial" w:cs="Arial"/>
          <w:b/>
          <w:i/>
          <w:sz w:val="18"/>
          <w:szCs w:val="18"/>
        </w:rPr>
        <w:t>ele requeria a uniformização do entendimento de que é possível um processo tramitar em Juizado Especial Federal (JEF) se o autor renunciar a quantias que excedam 60 salários mínimos.</w:t>
      </w:r>
    </w:p>
    <w:p w:rsidR="008E52C0" w:rsidRPr="008E52C0" w:rsidRDefault="008E52C0" w:rsidP="008E52C0">
      <w:pPr>
        <w:pStyle w:val="NormalWeb"/>
        <w:spacing w:before="0" w:beforeAutospacing="0" w:after="0" w:afterAutospacing="0" w:line="240" w:lineRule="auto"/>
        <w:ind w:left="2268"/>
        <w:jc w:val="both"/>
        <w:rPr>
          <w:rFonts w:ascii="Arial" w:hAnsi="Arial" w:cs="Arial"/>
          <w:i/>
          <w:sz w:val="18"/>
          <w:szCs w:val="18"/>
        </w:rPr>
      </w:pPr>
      <w:r w:rsidRPr="008E52C0">
        <w:rPr>
          <w:rFonts w:ascii="Arial" w:hAnsi="Arial" w:cs="Arial"/>
          <w:i/>
          <w:sz w:val="18"/>
          <w:szCs w:val="18"/>
        </w:rPr>
        <w:t xml:space="preserve">O médico impetrou o IRDR </w:t>
      </w:r>
      <w:r w:rsidRPr="00E61B7D">
        <w:rPr>
          <w:rFonts w:ascii="Arial" w:hAnsi="Arial" w:cs="Arial"/>
          <w:b/>
          <w:i/>
          <w:sz w:val="18"/>
          <w:szCs w:val="18"/>
        </w:rPr>
        <w:t>após decisão que corrigiu de ofício o valor de sua causa e declarou a incompetência do JEF para o julgamento</w:t>
      </w:r>
      <w:r w:rsidRPr="008E52C0">
        <w:rPr>
          <w:rFonts w:ascii="Arial" w:hAnsi="Arial" w:cs="Arial"/>
          <w:i/>
          <w:sz w:val="18"/>
          <w:szCs w:val="18"/>
        </w:rPr>
        <w:t>, mesmo ele tendo juntado ao processo declaração de renúncia ao limite de competência dos JEFs.</w:t>
      </w:r>
    </w:p>
    <w:p w:rsidR="008E52C0" w:rsidRPr="008E52C0" w:rsidRDefault="0031519A" w:rsidP="008E52C0">
      <w:pPr>
        <w:pStyle w:val="NormalWeb"/>
        <w:spacing w:before="0" w:beforeAutospacing="0" w:after="0" w:afterAutospacing="0" w:line="240" w:lineRule="auto"/>
        <w:ind w:left="2268"/>
        <w:jc w:val="both"/>
        <w:rPr>
          <w:rFonts w:ascii="Arial" w:hAnsi="Arial" w:cs="Arial"/>
          <w:i/>
          <w:sz w:val="18"/>
          <w:szCs w:val="18"/>
        </w:rPr>
      </w:pPr>
      <w:r>
        <w:rPr>
          <w:rFonts w:ascii="Arial" w:hAnsi="Arial" w:cs="Arial"/>
          <w:i/>
          <w:sz w:val="18"/>
          <w:szCs w:val="18"/>
        </w:rPr>
        <w:t xml:space="preserve">(...) </w:t>
      </w:r>
    </w:p>
    <w:p w:rsidR="008E52C0" w:rsidRPr="008E52C0" w:rsidRDefault="008E52C0" w:rsidP="008E52C0">
      <w:pPr>
        <w:pStyle w:val="NormalWeb"/>
        <w:spacing w:before="0" w:beforeAutospacing="0" w:after="0" w:afterAutospacing="0" w:line="240" w:lineRule="auto"/>
        <w:ind w:left="2268"/>
        <w:jc w:val="both"/>
        <w:rPr>
          <w:rFonts w:ascii="Arial" w:hAnsi="Arial" w:cs="Arial"/>
          <w:i/>
          <w:sz w:val="18"/>
          <w:szCs w:val="18"/>
        </w:rPr>
      </w:pPr>
      <w:r w:rsidRPr="008E52C0">
        <w:rPr>
          <w:rFonts w:ascii="Arial" w:hAnsi="Arial" w:cs="Arial"/>
          <w:i/>
          <w:sz w:val="18"/>
          <w:szCs w:val="18"/>
        </w:rPr>
        <w:t xml:space="preserve">Por unanimidade, a Corte Especial firmou o entendimento de que havendo prestações vencidas e vincendas, e renunciando o autor ao excedente a sessenta salários mínimos </w:t>
      </w:r>
      <w:r w:rsidRPr="00E61B7D">
        <w:rPr>
          <w:rFonts w:ascii="Arial" w:hAnsi="Arial" w:cs="Arial"/>
          <w:b/>
          <w:i/>
          <w:sz w:val="18"/>
          <w:szCs w:val="18"/>
        </w:rPr>
        <w:t>para litigar nos JEFs, quando da liquidação da condenação o montante representado pelo que foi objeto do ato inicial de renúncia</w:t>
      </w:r>
      <w:r w:rsidRPr="008E52C0">
        <w:rPr>
          <w:rFonts w:ascii="Arial" w:hAnsi="Arial" w:cs="Arial"/>
          <w:i/>
          <w:sz w:val="18"/>
          <w:szCs w:val="18"/>
        </w:rPr>
        <w:t xml:space="preserve"> (desde o termo inicial das parcelas vencidas até o termo final da anuidade então vincenda), deverá ser apurado considerando-se sessenta salários mínimos vigentes à data do ajuizamento, admitida a partir deste marco, no que toca a este montante, apenas a incidência de juros e atualização monetária.</w:t>
      </w:r>
    </w:p>
    <w:p w:rsidR="008E52C0" w:rsidRPr="008E52C0" w:rsidRDefault="008E52C0" w:rsidP="008E52C0">
      <w:pPr>
        <w:pStyle w:val="NormalWeb"/>
        <w:spacing w:before="0" w:beforeAutospacing="0" w:after="0" w:afterAutospacing="0" w:line="240" w:lineRule="auto"/>
        <w:ind w:left="2268"/>
        <w:jc w:val="both"/>
        <w:rPr>
          <w:rFonts w:ascii="Arial" w:hAnsi="Arial" w:cs="Arial"/>
          <w:i/>
          <w:sz w:val="18"/>
          <w:szCs w:val="18"/>
        </w:rPr>
      </w:pPr>
      <w:r w:rsidRPr="008E52C0">
        <w:rPr>
          <w:rFonts w:ascii="Arial" w:hAnsi="Arial" w:cs="Arial"/>
          <w:i/>
          <w:sz w:val="18"/>
          <w:szCs w:val="18"/>
        </w:rPr>
        <w:t>A decisão define ainda que a acumulação de novas parcelas a este montante somente se dará em relação às prestações que se vencerem a partir de um ano a contar da data do ajuizamento, incidindo juros e atualização monetária a partir dos respectivos vencimentos. A sistemática a ser observada para o pagamento considerará o valor total do crédito (soma do montante apurado com base na renúncia inicial com o montante apurado com base nas parcelas acumuladas a partir de doze meses contados do ajuizamento).</w:t>
      </w:r>
    </w:p>
    <w:p w:rsidR="008E52C0" w:rsidRPr="00D65622" w:rsidRDefault="008E52C0" w:rsidP="008E52C0">
      <w:pPr>
        <w:pStyle w:val="NormalWeb"/>
        <w:spacing w:before="0" w:beforeAutospacing="0" w:after="0" w:afterAutospacing="0" w:line="240" w:lineRule="auto"/>
        <w:ind w:left="2268"/>
        <w:jc w:val="both"/>
        <w:rPr>
          <w:rFonts w:ascii="Arial" w:hAnsi="Arial" w:cs="Arial"/>
          <w:i/>
          <w:sz w:val="18"/>
          <w:szCs w:val="18"/>
        </w:rPr>
      </w:pPr>
      <w:r w:rsidRPr="008E52C0">
        <w:rPr>
          <w:rFonts w:ascii="Arial" w:hAnsi="Arial" w:cs="Arial"/>
          <w:i/>
          <w:sz w:val="18"/>
          <w:szCs w:val="18"/>
        </w:rPr>
        <w:lastRenderedPageBreak/>
        <w:t>O entendimento passa a ser aplicável a todos os processos individuais ou coletivos que versam sobre idênticas questões de direito e que tramitam na 4ª Região.</w:t>
      </w:r>
      <w:r w:rsidR="00DE638F">
        <w:rPr>
          <w:rFonts w:ascii="Arial" w:hAnsi="Arial" w:cs="Arial"/>
          <w:i/>
          <w:sz w:val="18"/>
          <w:szCs w:val="18"/>
        </w:rPr>
        <w:t xml:space="preserve"> </w:t>
      </w:r>
      <w:r w:rsidRPr="008E52C0">
        <w:rPr>
          <w:rFonts w:ascii="Arial" w:hAnsi="Arial" w:cs="Arial"/>
          <w:i/>
          <w:sz w:val="18"/>
          <w:szCs w:val="18"/>
        </w:rPr>
        <w:br/>
      </w:r>
      <w:hyperlink r:id="rId10" w:history="1">
        <w:r w:rsidRPr="00DE638F">
          <w:rPr>
            <w:rStyle w:val="Hyperlink"/>
            <w:rFonts w:ascii="Arial" w:hAnsi="Arial" w:cs="Arial"/>
            <w:bCs/>
            <w:i/>
            <w:color w:val="000000" w:themeColor="text1"/>
            <w:sz w:val="18"/>
            <w:szCs w:val="18"/>
            <w:bdr w:val="none" w:sz="0" w:space="0" w:color="auto" w:frame="1"/>
          </w:rPr>
          <w:t>5033207-91.2016.4.04.0000/TRF</w:t>
        </w:r>
      </w:hyperlink>
      <w:r w:rsidR="00DE638F">
        <w:rPr>
          <w:rFonts w:ascii="Arial" w:hAnsi="Arial" w:cs="Arial"/>
          <w:i/>
          <w:color w:val="000000" w:themeColor="text1"/>
          <w:sz w:val="18"/>
          <w:szCs w:val="18"/>
        </w:rPr>
        <w:t>” ( grifamos)</w:t>
      </w:r>
    </w:p>
    <w:p w:rsidR="00D65622" w:rsidRDefault="00D65622" w:rsidP="002174CD">
      <w:pPr>
        <w:jc w:val="both"/>
        <w:rPr>
          <w:rFonts w:ascii="Arial" w:eastAsia="Luxi Sans" w:hAnsi="Arial" w:cs="Arial"/>
          <w:bCs/>
        </w:rPr>
      </w:pPr>
    </w:p>
    <w:p w:rsidR="002174CD" w:rsidRDefault="000C5354" w:rsidP="000A0E99">
      <w:pPr>
        <w:ind w:firstLine="1134"/>
        <w:jc w:val="both"/>
        <w:rPr>
          <w:rFonts w:ascii="Arial" w:eastAsia="Luxi Sans" w:hAnsi="Arial" w:cs="Arial"/>
          <w:bCs/>
        </w:rPr>
      </w:pPr>
      <w:r>
        <w:rPr>
          <w:rFonts w:ascii="Arial" w:eastAsia="Luxi Sans" w:hAnsi="Arial" w:cs="Arial"/>
          <w:bCs/>
        </w:rPr>
        <w:t>Na</w:t>
      </w:r>
      <w:r w:rsidR="000F4291">
        <w:rPr>
          <w:rFonts w:ascii="Arial" w:eastAsia="Luxi Sans" w:hAnsi="Arial" w:cs="Arial"/>
          <w:bCs/>
        </w:rPr>
        <w:t xml:space="preserve"> </w:t>
      </w:r>
      <w:r w:rsidR="000A0E99">
        <w:rPr>
          <w:rFonts w:ascii="Arial" w:eastAsia="Luxi Sans" w:hAnsi="Arial" w:cs="Arial"/>
          <w:bCs/>
        </w:rPr>
        <w:t xml:space="preserve">verdade, não haveria lógica pensar de outra forma, já que </w:t>
      </w:r>
      <w:r w:rsidR="000D0425">
        <w:rPr>
          <w:rFonts w:ascii="Arial" w:eastAsia="Luxi Sans" w:hAnsi="Arial" w:cs="Arial"/>
          <w:bCs/>
        </w:rPr>
        <w:t>o artigo 361, I, do Regimento Interno do próprio TRF1 deixa claro que a tese jurídica firmada no IRDR será aplicada</w:t>
      </w:r>
      <w:r w:rsidR="00B836DC">
        <w:rPr>
          <w:rFonts w:ascii="Arial" w:eastAsia="Luxi Sans" w:hAnsi="Arial" w:cs="Arial"/>
          <w:bCs/>
        </w:rPr>
        <w:t xml:space="preserve"> aos processos que tramitam nos Juizados Especiais Federais. </w:t>
      </w:r>
      <w:r w:rsidR="000B562A">
        <w:rPr>
          <w:rFonts w:ascii="Arial" w:eastAsia="Luxi Sans" w:hAnsi="Arial" w:cs="Arial"/>
          <w:bCs/>
        </w:rPr>
        <w:t xml:space="preserve">Seria, </w:t>
      </w:r>
      <w:r w:rsidR="000B562A">
        <w:rPr>
          <w:rFonts w:ascii="Arial" w:eastAsia="Luxi Sans" w:hAnsi="Arial" w:cs="Arial"/>
          <w:bCs/>
          <w:i/>
        </w:rPr>
        <w:t>data</w:t>
      </w:r>
      <w:r w:rsidR="000F4291">
        <w:rPr>
          <w:rFonts w:ascii="Arial" w:eastAsia="Luxi Sans" w:hAnsi="Arial" w:cs="Arial"/>
          <w:bCs/>
          <w:i/>
        </w:rPr>
        <w:t xml:space="preserve"> </w:t>
      </w:r>
      <w:r w:rsidR="000B562A">
        <w:rPr>
          <w:rFonts w:ascii="Arial" w:eastAsia="Luxi Sans" w:hAnsi="Arial" w:cs="Arial"/>
          <w:bCs/>
          <w:i/>
        </w:rPr>
        <w:t xml:space="preserve">vênia, </w:t>
      </w:r>
      <w:r w:rsidR="000B562A">
        <w:rPr>
          <w:rFonts w:ascii="Arial" w:eastAsia="Luxi Sans" w:hAnsi="Arial" w:cs="Arial"/>
          <w:bCs/>
        </w:rPr>
        <w:t>um</w:t>
      </w:r>
      <w:r w:rsidR="00B836DC">
        <w:rPr>
          <w:rFonts w:ascii="Arial" w:eastAsia="Luxi Sans" w:hAnsi="Arial" w:cs="Arial"/>
          <w:bCs/>
        </w:rPr>
        <w:t xml:space="preserve"> contrassenso dizer que </w:t>
      </w:r>
      <w:r w:rsidR="00B836DC" w:rsidRPr="000F4291">
        <w:rPr>
          <w:rFonts w:ascii="Arial" w:eastAsia="Luxi Sans" w:hAnsi="Arial" w:cs="Arial"/>
          <w:b/>
          <w:bCs/>
        </w:rPr>
        <w:t xml:space="preserve">a tese firmada pelo TRF1 afeta os processos dos Juizados Especiais </w:t>
      </w:r>
      <w:r w:rsidR="000B562A" w:rsidRPr="000F4291">
        <w:rPr>
          <w:rFonts w:ascii="Arial" w:eastAsia="Luxi Sans" w:hAnsi="Arial" w:cs="Arial"/>
          <w:b/>
          <w:bCs/>
        </w:rPr>
        <w:t>Federais,</w:t>
      </w:r>
      <w:r w:rsidR="000F4291">
        <w:rPr>
          <w:rFonts w:ascii="Arial" w:eastAsia="Luxi Sans" w:hAnsi="Arial" w:cs="Arial"/>
          <w:b/>
          <w:bCs/>
        </w:rPr>
        <w:t xml:space="preserve"> mas as</w:t>
      </w:r>
      <w:r w:rsidR="00B836DC" w:rsidRPr="000F4291">
        <w:rPr>
          <w:rFonts w:ascii="Arial" w:eastAsia="Luxi Sans" w:hAnsi="Arial" w:cs="Arial"/>
          <w:b/>
          <w:bCs/>
        </w:rPr>
        <w:t xml:space="preserve"> controvérsias interpretativas </w:t>
      </w:r>
      <w:r w:rsidR="00BB4EBE">
        <w:rPr>
          <w:rFonts w:ascii="Arial" w:eastAsia="Luxi Sans" w:hAnsi="Arial" w:cs="Arial"/>
          <w:b/>
          <w:bCs/>
        </w:rPr>
        <w:t xml:space="preserve">das Leis </w:t>
      </w:r>
      <w:r w:rsidR="00B836DC" w:rsidRPr="000F4291">
        <w:rPr>
          <w:rFonts w:ascii="Arial" w:eastAsia="Luxi Sans" w:hAnsi="Arial" w:cs="Arial"/>
          <w:b/>
          <w:bCs/>
        </w:rPr>
        <w:t>não pode</w:t>
      </w:r>
      <w:r w:rsidR="00BB4EBE">
        <w:rPr>
          <w:rFonts w:ascii="Arial" w:eastAsia="Luxi Sans" w:hAnsi="Arial" w:cs="Arial"/>
          <w:b/>
          <w:bCs/>
        </w:rPr>
        <w:t>m</w:t>
      </w:r>
      <w:r w:rsidR="00B836DC" w:rsidRPr="000F4291">
        <w:rPr>
          <w:rFonts w:ascii="Arial" w:eastAsia="Luxi Sans" w:hAnsi="Arial" w:cs="Arial"/>
          <w:b/>
          <w:bCs/>
        </w:rPr>
        <w:t xml:space="preserve"> advir daqueles Juizados</w:t>
      </w:r>
      <w:r w:rsidR="00B836DC">
        <w:rPr>
          <w:rFonts w:ascii="Arial" w:eastAsia="Luxi Sans" w:hAnsi="Arial" w:cs="Arial"/>
          <w:bCs/>
        </w:rPr>
        <w:t>. Apenas para colaborar com o juízo, transcreve-se o art. 361, I, do RITRF1:</w:t>
      </w:r>
    </w:p>
    <w:tbl>
      <w:tblPr>
        <w:tblStyle w:val="Tabelacomgrade"/>
        <w:tblW w:w="0" w:type="auto"/>
        <w:tblInd w:w="2263" w:type="dxa"/>
        <w:tblLook w:val="04A0" w:firstRow="1" w:lastRow="0" w:firstColumn="1" w:lastColumn="0" w:noHBand="0" w:noVBand="1"/>
      </w:tblPr>
      <w:tblGrid>
        <w:gridCol w:w="6799"/>
      </w:tblGrid>
      <w:tr w:rsidR="00C94BF6" w:rsidTr="00C94BF6">
        <w:tc>
          <w:tcPr>
            <w:tcW w:w="6799" w:type="dxa"/>
          </w:tcPr>
          <w:p w:rsidR="00C94BF6" w:rsidRPr="00C94BF6" w:rsidRDefault="00C94BF6" w:rsidP="00C94BF6">
            <w:pPr>
              <w:spacing w:line="240" w:lineRule="auto"/>
              <w:jc w:val="both"/>
              <w:rPr>
                <w:rFonts w:ascii="Arial" w:hAnsi="Arial" w:cs="Arial"/>
                <w:i/>
                <w:sz w:val="20"/>
                <w:szCs w:val="20"/>
              </w:rPr>
            </w:pPr>
            <w:r>
              <w:rPr>
                <w:rFonts w:ascii="Arial" w:hAnsi="Arial" w:cs="Arial"/>
                <w:i/>
                <w:sz w:val="20"/>
                <w:szCs w:val="20"/>
              </w:rPr>
              <w:t>“</w:t>
            </w:r>
            <w:r w:rsidRPr="00C94BF6">
              <w:rPr>
                <w:rFonts w:ascii="Arial" w:hAnsi="Arial" w:cs="Arial"/>
                <w:i/>
                <w:sz w:val="20"/>
                <w:szCs w:val="20"/>
              </w:rPr>
              <w:t xml:space="preserve">Art. 361. Julgado o incidente, a tese jurídica será aplicada: I – a todos os processos individuais ou coletivos que versem sobre idêntica questão de direito e que tramitem na Justiça Federal da 1ª Região, </w:t>
            </w:r>
            <w:r w:rsidRPr="00C94BF6">
              <w:rPr>
                <w:rFonts w:ascii="Arial" w:hAnsi="Arial" w:cs="Arial"/>
                <w:b/>
                <w:i/>
                <w:sz w:val="20"/>
                <w:szCs w:val="20"/>
                <w:u w:val="single"/>
              </w:rPr>
              <w:t>inclusive àqueles que tramitem nos juizados especiais federais</w:t>
            </w:r>
            <w:r w:rsidR="00BE24D7" w:rsidRPr="00C94BF6">
              <w:rPr>
                <w:rFonts w:ascii="Arial" w:hAnsi="Arial" w:cs="Arial"/>
                <w:b/>
                <w:i/>
                <w:sz w:val="20"/>
                <w:szCs w:val="20"/>
                <w:u w:val="single"/>
              </w:rPr>
              <w:t>;</w:t>
            </w:r>
            <w:r w:rsidR="00BE24D7">
              <w:rPr>
                <w:rFonts w:ascii="Arial" w:hAnsi="Arial" w:cs="Arial"/>
                <w:b/>
                <w:i/>
                <w:sz w:val="20"/>
                <w:szCs w:val="20"/>
                <w:u w:val="single"/>
              </w:rPr>
              <w:t>”</w:t>
            </w:r>
            <w:r w:rsidR="00BE24D7">
              <w:rPr>
                <w:rFonts w:ascii="Arial" w:hAnsi="Arial" w:cs="Arial"/>
                <w:i/>
                <w:sz w:val="20"/>
                <w:szCs w:val="20"/>
              </w:rPr>
              <w:t xml:space="preserve"> (grifamos</w:t>
            </w:r>
            <w:r>
              <w:rPr>
                <w:rFonts w:ascii="Arial" w:hAnsi="Arial" w:cs="Arial"/>
                <w:i/>
                <w:sz w:val="20"/>
                <w:szCs w:val="20"/>
              </w:rPr>
              <w:t>)</w:t>
            </w:r>
          </w:p>
          <w:p w:rsidR="00C94BF6" w:rsidRDefault="00C94BF6" w:rsidP="00C94BF6">
            <w:pPr>
              <w:spacing w:line="240" w:lineRule="auto"/>
              <w:jc w:val="both"/>
              <w:rPr>
                <w:rFonts w:ascii="Arial" w:eastAsia="Luxi Sans" w:hAnsi="Arial" w:cs="Arial"/>
                <w:bCs/>
              </w:rPr>
            </w:pPr>
          </w:p>
        </w:tc>
      </w:tr>
    </w:tbl>
    <w:p w:rsidR="001F4828" w:rsidRPr="00BE24D7" w:rsidRDefault="001F4828" w:rsidP="00B836DC">
      <w:pPr>
        <w:spacing w:line="240" w:lineRule="auto"/>
        <w:ind w:firstLine="1134"/>
        <w:jc w:val="both"/>
        <w:rPr>
          <w:rFonts w:ascii="Arial" w:eastAsia="Luxi Sans" w:hAnsi="Arial" w:cs="Arial"/>
          <w:bCs/>
          <w:sz w:val="20"/>
          <w:szCs w:val="20"/>
        </w:rPr>
      </w:pPr>
    </w:p>
    <w:p w:rsidR="00BE24D7" w:rsidRPr="00D7415C" w:rsidRDefault="000C5354" w:rsidP="00BE24D7">
      <w:pPr>
        <w:pStyle w:val="PargrafodaLista"/>
        <w:numPr>
          <w:ilvl w:val="1"/>
          <w:numId w:val="21"/>
        </w:numPr>
        <w:jc w:val="both"/>
        <w:rPr>
          <w:rFonts w:ascii="Arial" w:eastAsia="Luxi Sans" w:hAnsi="Arial" w:cs="Arial"/>
          <w:b/>
          <w:bCs/>
        </w:rPr>
      </w:pPr>
      <w:r>
        <w:rPr>
          <w:rFonts w:ascii="Arial" w:eastAsia="Luxi Sans" w:hAnsi="Arial" w:cs="Arial"/>
          <w:b/>
          <w:bCs/>
        </w:rPr>
        <w:t>A</w:t>
      </w:r>
      <w:r w:rsidR="00BE24D7">
        <w:rPr>
          <w:rFonts w:ascii="Arial" w:eastAsia="Luxi Sans" w:hAnsi="Arial" w:cs="Arial"/>
          <w:b/>
          <w:bCs/>
        </w:rPr>
        <w:t xml:space="preserve"> doutrina autorizada</w:t>
      </w:r>
      <w:r>
        <w:rPr>
          <w:rFonts w:ascii="Arial" w:eastAsia="Luxi Sans" w:hAnsi="Arial" w:cs="Arial"/>
          <w:b/>
          <w:bCs/>
        </w:rPr>
        <w:t xml:space="preserve"> sobre cabimento de IRDR em processos originários do JEF</w:t>
      </w:r>
      <w:r w:rsidR="00BE24D7">
        <w:rPr>
          <w:rFonts w:ascii="Arial" w:eastAsia="Luxi Sans" w:hAnsi="Arial" w:cs="Arial"/>
          <w:b/>
          <w:bCs/>
        </w:rPr>
        <w:t xml:space="preserve">: </w:t>
      </w:r>
    </w:p>
    <w:p w:rsidR="00CF6915" w:rsidRPr="00C94BF6" w:rsidRDefault="00CF6915" w:rsidP="00BE24D7">
      <w:pPr>
        <w:spacing w:line="240" w:lineRule="auto"/>
        <w:jc w:val="both"/>
        <w:rPr>
          <w:rFonts w:ascii="Arial" w:eastAsia="Luxi Sans" w:hAnsi="Arial" w:cs="Arial"/>
          <w:bCs/>
          <w:sz w:val="20"/>
          <w:szCs w:val="20"/>
        </w:rPr>
      </w:pPr>
    </w:p>
    <w:p w:rsidR="009B5B6A" w:rsidRPr="00C94BF6" w:rsidRDefault="009B5B6A" w:rsidP="00B836DC">
      <w:pPr>
        <w:spacing w:line="240" w:lineRule="auto"/>
        <w:jc w:val="both"/>
        <w:rPr>
          <w:rFonts w:ascii="Arial" w:eastAsia="Luxi Sans" w:hAnsi="Arial" w:cs="Arial"/>
          <w:bCs/>
          <w:i/>
          <w:sz w:val="20"/>
          <w:szCs w:val="20"/>
        </w:rPr>
      </w:pPr>
    </w:p>
    <w:p w:rsidR="00781D2E" w:rsidRDefault="0055365E" w:rsidP="0055365E">
      <w:pPr>
        <w:pStyle w:val="PargrafodaLista"/>
        <w:ind w:left="0" w:firstLine="1134"/>
        <w:jc w:val="both"/>
        <w:rPr>
          <w:rFonts w:ascii="Arial" w:hAnsi="Arial" w:cs="Arial"/>
          <w:color w:val="232323"/>
        </w:rPr>
      </w:pPr>
      <w:r>
        <w:rPr>
          <w:rFonts w:ascii="Arial" w:hAnsi="Arial" w:cs="Arial"/>
          <w:color w:val="232323"/>
        </w:rPr>
        <w:t>Segundo a doutrina do Eminente Processualista Daniel Amorim Assumpção Neves</w:t>
      </w:r>
      <w:r w:rsidR="00BA03FD">
        <w:rPr>
          <w:rStyle w:val="Refdenotaderodap"/>
          <w:rFonts w:ascii="Arial" w:hAnsi="Arial" w:cs="Arial"/>
          <w:color w:val="232323"/>
        </w:rPr>
        <w:footnoteReference w:id="1"/>
      </w:r>
      <w:r>
        <w:rPr>
          <w:rFonts w:ascii="Arial" w:hAnsi="Arial" w:cs="Arial"/>
          <w:color w:val="232323"/>
        </w:rPr>
        <w:t xml:space="preserve">, </w:t>
      </w:r>
      <w:r w:rsidR="00094B09" w:rsidRPr="00F9491A">
        <w:rPr>
          <w:rFonts w:ascii="Arial" w:hAnsi="Arial" w:cs="Arial"/>
          <w:b/>
          <w:color w:val="232323"/>
        </w:rPr>
        <w:t>os Tribunais são</w:t>
      </w:r>
      <w:r w:rsidR="00A1515E">
        <w:rPr>
          <w:rFonts w:ascii="Arial" w:hAnsi="Arial" w:cs="Arial"/>
          <w:b/>
          <w:color w:val="232323"/>
        </w:rPr>
        <w:t>,</w:t>
      </w:r>
      <w:r w:rsidR="00094B09" w:rsidRPr="00F9491A">
        <w:rPr>
          <w:rFonts w:ascii="Arial" w:hAnsi="Arial" w:cs="Arial"/>
          <w:b/>
          <w:color w:val="232323"/>
        </w:rPr>
        <w:t xml:space="preserve"> sim</w:t>
      </w:r>
      <w:r w:rsidR="00A1515E">
        <w:rPr>
          <w:rFonts w:ascii="Arial" w:hAnsi="Arial" w:cs="Arial"/>
          <w:b/>
          <w:color w:val="232323"/>
        </w:rPr>
        <w:t>,</w:t>
      </w:r>
      <w:r w:rsidR="00094B09" w:rsidRPr="00F9491A">
        <w:rPr>
          <w:rFonts w:ascii="Arial" w:hAnsi="Arial" w:cs="Arial"/>
          <w:b/>
          <w:color w:val="232323"/>
        </w:rPr>
        <w:t xml:space="preserve"> competentes para julgar IRDR’s a partir de processos oriundos dos Juizados Especiais Federais</w:t>
      </w:r>
      <w:r w:rsidR="00094B09">
        <w:rPr>
          <w:rFonts w:ascii="Arial" w:hAnsi="Arial" w:cs="Arial"/>
          <w:color w:val="232323"/>
        </w:rPr>
        <w:t xml:space="preserve">. O único dissenso interpretativo seria a competência </w:t>
      </w:r>
      <w:r w:rsidR="00781D2E">
        <w:rPr>
          <w:rFonts w:ascii="Arial" w:hAnsi="Arial" w:cs="Arial"/>
          <w:color w:val="232323"/>
        </w:rPr>
        <w:t xml:space="preserve">do Tribunal </w:t>
      </w:r>
      <w:r w:rsidR="00094B09">
        <w:rPr>
          <w:rFonts w:ascii="Arial" w:hAnsi="Arial" w:cs="Arial"/>
          <w:color w:val="232323"/>
        </w:rPr>
        <w:t xml:space="preserve">para julgar </w:t>
      </w:r>
      <w:r w:rsidR="00781D2E">
        <w:rPr>
          <w:rFonts w:ascii="Arial" w:hAnsi="Arial" w:cs="Arial"/>
          <w:color w:val="232323"/>
        </w:rPr>
        <w:t>eventual Recurso</w:t>
      </w:r>
      <w:r w:rsidR="00094B09">
        <w:rPr>
          <w:rFonts w:ascii="Arial" w:hAnsi="Arial" w:cs="Arial"/>
          <w:color w:val="232323"/>
        </w:rPr>
        <w:t xml:space="preserve"> inominado pendente no processo originário, conforme determina o art. </w:t>
      </w:r>
      <w:r w:rsidR="00781D2E">
        <w:rPr>
          <w:rFonts w:ascii="Arial" w:hAnsi="Arial" w:cs="Arial"/>
          <w:color w:val="232323"/>
        </w:rPr>
        <w:t>978, §</w:t>
      </w:r>
      <w:r w:rsidR="002105B4">
        <w:rPr>
          <w:rFonts w:ascii="Arial" w:hAnsi="Arial" w:cs="Arial"/>
          <w:color w:val="232323"/>
        </w:rPr>
        <w:t xml:space="preserve">único. </w:t>
      </w:r>
    </w:p>
    <w:p w:rsidR="004C3B98" w:rsidRDefault="002105B4" w:rsidP="0055365E">
      <w:pPr>
        <w:pStyle w:val="PargrafodaLista"/>
        <w:ind w:left="0" w:firstLine="1134"/>
        <w:jc w:val="both"/>
        <w:rPr>
          <w:rFonts w:ascii="Arial" w:hAnsi="Arial" w:cs="Arial"/>
          <w:color w:val="232323"/>
        </w:rPr>
      </w:pPr>
      <w:r>
        <w:rPr>
          <w:rFonts w:ascii="Arial" w:hAnsi="Arial" w:cs="Arial"/>
          <w:color w:val="232323"/>
        </w:rPr>
        <w:t>No entanto,</w:t>
      </w:r>
      <w:r w:rsidR="000445E4">
        <w:rPr>
          <w:rFonts w:ascii="Arial" w:hAnsi="Arial" w:cs="Arial"/>
          <w:color w:val="232323"/>
        </w:rPr>
        <w:t xml:space="preserve"> </w:t>
      </w:r>
      <w:r>
        <w:rPr>
          <w:rFonts w:ascii="Arial" w:hAnsi="Arial" w:cs="Arial"/>
          <w:color w:val="232323"/>
        </w:rPr>
        <w:t xml:space="preserve">o referido doutrinador dá </w:t>
      </w:r>
      <w:r w:rsidR="00781D2E">
        <w:rPr>
          <w:rFonts w:ascii="Arial" w:hAnsi="Arial" w:cs="Arial"/>
          <w:color w:val="232323"/>
        </w:rPr>
        <w:t>duas</w:t>
      </w:r>
      <w:r>
        <w:rPr>
          <w:rFonts w:ascii="Arial" w:hAnsi="Arial" w:cs="Arial"/>
          <w:color w:val="232323"/>
        </w:rPr>
        <w:t xml:space="preserve"> soluç</w:t>
      </w:r>
      <w:r w:rsidR="00781D2E">
        <w:rPr>
          <w:rFonts w:ascii="Arial" w:hAnsi="Arial" w:cs="Arial"/>
          <w:color w:val="232323"/>
        </w:rPr>
        <w:t>ões</w:t>
      </w:r>
      <w:r>
        <w:rPr>
          <w:rFonts w:ascii="Arial" w:hAnsi="Arial" w:cs="Arial"/>
          <w:color w:val="232323"/>
        </w:rPr>
        <w:t xml:space="preserve"> bem razo</w:t>
      </w:r>
      <w:r w:rsidR="00781D2E">
        <w:rPr>
          <w:rFonts w:ascii="Arial" w:hAnsi="Arial" w:cs="Arial"/>
          <w:color w:val="232323"/>
        </w:rPr>
        <w:t>áveis</w:t>
      </w:r>
      <w:r w:rsidR="004C3B98">
        <w:rPr>
          <w:rFonts w:ascii="Arial" w:hAnsi="Arial" w:cs="Arial"/>
          <w:color w:val="232323"/>
        </w:rPr>
        <w:t xml:space="preserve"> para a questão.</w:t>
      </w:r>
    </w:p>
    <w:p w:rsidR="001A79AB" w:rsidRDefault="004C3B98" w:rsidP="0055365E">
      <w:pPr>
        <w:pStyle w:val="PargrafodaLista"/>
        <w:ind w:left="0" w:firstLine="1134"/>
        <w:jc w:val="both"/>
        <w:rPr>
          <w:rFonts w:ascii="Arial" w:hAnsi="Arial" w:cs="Arial"/>
          <w:color w:val="232323"/>
        </w:rPr>
      </w:pPr>
      <w:r>
        <w:rPr>
          <w:rFonts w:ascii="Arial" w:hAnsi="Arial" w:cs="Arial"/>
          <w:color w:val="232323"/>
        </w:rPr>
        <w:t>Num</w:t>
      </w:r>
      <w:r w:rsidR="00441FE8">
        <w:rPr>
          <w:rFonts w:ascii="Arial" w:hAnsi="Arial" w:cs="Arial"/>
          <w:color w:val="232323"/>
        </w:rPr>
        <w:t>a</w:t>
      </w:r>
      <w:r>
        <w:rPr>
          <w:rFonts w:ascii="Arial" w:hAnsi="Arial" w:cs="Arial"/>
          <w:color w:val="232323"/>
        </w:rPr>
        <w:t xml:space="preserve"> primeir</w:t>
      </w:r>
      <w:r w:rsidR="00441FE8">
        <w:rPr>
          <w:rFonts w:ascii="Arial" w:hAnsi="Arial" w:cs="Arial"/>
          <w:color w:val="232323"/>
        </w:rPr>
        <w:t>a orientação</w:t>
      </w:r>
      <w:r>
        <w:rPr>
          <w:rFonts w:ascii="Arial" w:hAnsi="Arial" w:cs="Arial"/>
          <w:color w:val="232323"/>
        </w:rPr>
        <w:t>, sugere</w:t>
      </w:r>
      <w:r w:rsidR="00746948">
        <w:rPr>
          <w:rFonts w:ascii="Arial" w:hAnsi="Arial" w:cs="Arial"/>
          <w:color w:val="232323"/>
        </w:rPr>
        <w:t xml:space="preserve"> que</w:t>
      </w:r>
      <w:r w:rsidR="002105B4">
        <w:rPr>
          <w:rFonts w:ascii="Arial" w:hAnsi="Arial" w:cs="Arial"/>
          <w:color w:val="232323"/>
        </w:rPr>
        <w:t xml:space="preserve"> se fracione o julgamento</w:t>
      </w:r>
      <w:r w:rsidR="00365C93">
        <w:rPr>
          <w:rFonts w:ascii="Arial" w:hAnsi="Arial" w:cs="Arial"/>
          <w:color w:val="232323"/>
        </w:rPr>
        <w:t>, de forma que ao Tribunal caberá a fixação das teses jurídicas com julgamento do IRDR e</w:t>
      </w:r>
      <w:r w:rsidR="00F74F01">
        <w:rPr>
          <w:rFonts w:ascii="Arial" w:hAnsi="Arial" w:cs="Arial"/>
          <w:color w:val="232323"/>
        </w:rPr>
        <w:t xml:space="preserve">, em seguida, com a intimação da tese </w:t>
      </w:r>
      <w:r>
        <w:rPr>
          <w:rFonts w:ascii="Arial" w:hAnsi="Arial" w:cs="Arial"/>
          <w:color w:val="232323"/>
        </w:rPr>
        <w:t>firmada, a</w:t>
      </w:r>
      <w:r w:rsidR="00365C93">
        <w:rPr>
          <w:rFonts w:ascii="Arial" w:hAnsi="Arial" w:cs="Arial"/>
          <w:color w:val="232323"/>
        </w:rPr>
        <w:t xml:space="preserve"> Turma Recursal </w:t>
      </w:r>
      <w:r w:rsidR="00781D2E">
        <w:rPr>
          <w:rFonts w:ascii="Arial" w:hAnsi="Arial" w:cs="Arial"/>
          <w:color w:val="232323"/>
        </w:rPr>
        <w:t>(quando</w:t>
      </w:r>
      <w:r w:rsidR="00365C93">
        <w:rPr>
          <w:rFonts w:ascii="Arial" w:hAnsi="Arial" w:cs="Arial"/>
          <w:color w:val="232323"/>
        </w:rPr>
        <w:t xml:space="preserve"> do julgamento de recurso inominado</w:t>
      </w:r>
      <w:r>
        <w:rPr>
          <w:rFonts w:ascii="Arial" w:hAnsi="Arial" w:cs="Arial"/>
          <w:color w:val="232323"/>
        </w:rPr>
        <w:t xml:space="preserve"> ou sua revisão</w:t>
      </w:r>
      <w:r w:rsidR="00781D2E">
        <w:rPr>
          <w:rFonts w:ascii="Arial" w:hAnsi="Arial" w:cs="Arial"/>
          <w:color w:val="232323"/>
        </w:rPr>
        <w:t>)</w:t>
      </w:r>
      <w:r>
        <w:rPr>
          <w:rFonts w:ascii="Arial" w:hAnsi="Arial" w:cs="Arial"/>
          <w:color w:val="232323"/>
        </w:rPr>
        <w:t xml:space="preserve"> ou </w:t>
      </w:r>
      <w:r w:rsidR="00365C93">
        <w:rPr>
          <w:rFonts w:ascii="Arial" w:hAnsi="Arial" w:cs="Arial"/>
          <w:color w:val="232323"/>
        </w:rPr>
        <w:t xml:space="preserve">Juiz de primeiro grau </w:t>
      </w:r>
      <w:r w:rsidR="00781D2E">
        <w:rPr>
          <w:rFonts w:ascii="Arial" w:hAnsi="Arial" w:cs="Arial"/>
          <w:color w:val="232323"/>
        </w:rPr>
        <w:t>(quando</w:t>
      </w:r>
      <w:r w:rsidR="00365C93">
        <w:rPr>
          <w:rFonts w:ascii="Arial" w:hAnsi="Arial" w:cs="Arial"/>
          <w:color w:val="232323"/>
        </w:rPr>
        <w:t xml:space="preserve"> pendente sentença) </w:t>
      </w:r>
      <w:r w:rsidR="00746948">
        <w:rPr>
          <w:rFonts w:ascii="Arial" w:hAnsi="Arial" w:cs="Arial"/>
          <w:color w:val="232323"/>
        </w:rPr>
        <w:t xml:space="preserve">julgarão a pendência no processo originário, conforme a fase que estiver, mas aplicando a tese jurídica firmada pelo Tribunal. </w:t>
      </w:r>
    </w:p>
    <w:p w:rsidR="004C3B98" w:rsidRDefault="004C3B98" w:rsidP="0055365E">
      <w:pPr>
        <w:pStyle w:val="PargrafodaLista"/>
        <w:ind w:left="0" w:firstLine="1134"/>
        <w:jc w:val="both"/>
        <w:rPr>
          <w:rFonts w:ascii="Arial" w:hAnsi="Arial" w:cs="Arial"/>
          <w:color w:val="232323"/>
        </w:rPr>
      </w:pPr>
      <w:r>
        <w:rPr>
          <w:rFonts w:ascii="Arial" w:hAnsi="Arial" w:cs="Arial"/>
          <w:color w:val="232323"/>
        </w:rPr>
        <w:lastRenderedPageBreak/>
        <w:t>Num segundo plano, de forma alt</w:t>
      </w:r>
      <w:r w:rsidR="00107754">
        <w:rPr>
          <w:rFonts w:ascii="Arial" w:hAnsi="Arial" w:cs="Arial"/>
          <w:color w:val="232323"/>
        </w:rPr>
        <w:t xml:space="preserve">ernativa, </w:t>
      </w:r>
      <w:r w:rsidR="00107754" w:rsidRPr="00F9491A">
        <w:rPr>
          <w:rFonts w:ascii="Arial" w:hAnsi="Arial" w:cs="Arial"/>
          <w:b/>
          <w:color w:val="232323"/>
        </w:rPr>
        <w:t xml:space="preserve">sugere que o Tribunal julgue, ele mesmo, o recurso pendente (entendemos que pode, inclusive, anulá-lo para que a tese firmada seja fixada) mesmo sendo a ação originária dos Juizados, já que </w:t>
      </w:r>
      <w:r w:rsidR="000445E4" w:rsidRPr="00F9491A">
        <w:rPr>
          <w:rFonts w:ascii="Arial" w:hAnsi="Arial" w:cs="Arial"/>
          <w:b/>
          <w:color w:val="232323"/>
        </w:rPr>
        <w:t xml:space="preserve">houve um expresso deslocamento de competência, na dicção do art. </w:t>
      </w:r>
      <w:r w:rsidR="006677ED" w:rsidRPr="00F9491A">
        <w:rPr>
          <w:rFonts w:ascii="Arial" w:hAnsi="Arial" w:cs="Arial"/>
          <w:b/>
          <w:color w:val="232323"/>
        </w:rPr>
        <w:t>978, §</w:t>
      </w:r>
      <w:r w:rsidR="000445E4" w:rsidRPr="00F9491A">
        <w:rPr>
          <w:rFonts w:ascii="Arial" w:hAnsi="Arial" w:cs="Arial"/>
          <w:b/>
          <w:color w:val="232323"/>
        </w:rPr>
        <w:t>único</w:t>
      </w:r>
      <w:r w:rsidR="00441FE8">
        <w:rPr>
          <w:rFonts w:ascii="Arial" w:hAnsi="Arial" w:cs="Arial"/>
          <w:color w:val="232323"/>
        </w:rPr>
        <w:t xml:space="preserve"> </w:t>
      </w:r>
      <w:r w:rsidR="00F9491A" w:rsidRPr="00F9491A">
        <w:rPr>
          <w:rFonts w:ascii="Arial" w:hAnsi="Arial" w:cs="Arial"/>
          <w:b/>
          <w:color w:val="232323"/>
        </w:rPr>
        <w:t>do NCPC</w:t>
      </w:r>
      <w:r w:rsidR="00F9491A">
        <w:rPr>
          <w:rFonts w:ascii="Arial" w:hAnsi="Arial" w:cs="Arial"/>
          <w:color w:val="232323"/>
        </w:rPr>
        <w:t xml:space="preserve"> </w:t>
      </w:r>
      <w:r w:rsidR="0071359F">
        <w:rPr>
          <w:rFonts w:ascii="Arial" w:hAnsi="Arial" w:cs="Arial"/>
          <w:color w:val="232323"/>
        </w:rPr>
        <w:t>(entendemos que</w:t>
      </w:r>
      <w:r w:rsidR="00441FE8">
        <w:rPr>
          <w:rFonts w:ascii="Arial" w:hAnsi="Arial" w:cs="Arial"/>
          <w:color w:val="232323"/>
        </w:rPr>
        <w:t>, aqui, a competência do JEF deixou de ser absoluta e foi relativizada pelo deslocamento da competência para o Tribunal, em razão da fixação da tese em IRDR</w:t>
      </w:r>
      <w:r w:rsidR="006677ED">
        <w:rPr>
          <w:rFonts w:ascii="Arial" w:hAnsi="Arial" w:cs="Arial"/>
          <w:color w:val="232323"/>
        </w:rPr>
        <w:t>. Isso por que o Legislador</w:t>
      </w:r>
      <w:r w:rsidR="0071359F">
        <w:rPr>
          <w:rFonts w:ascii="Arial" w:hAnsi="Arial" w:cs="Arial"/>
          <w:color w:val="232323"/>
        </w:rPr>
        <w:t>, no CPC, foi Constitucionalmente, autorizado, pelo art. 22, I. da CF a legislar sobre Direito Processual</w:t>
      </w:r>
      <w:r w:rsidR="00441FE8">
        <w:rPr>
          <w:rFonts w:ascii="Arial" w:hAnsi="Arial" w:cs="Arial"/>
          <w:color w:val="232323"/>
        </w:rPr>
        <w:t>)</w:t>
      </w:r>
      <w:r w:rsidR="000445E4">
        <w:rPr>
          <w:rFonts w:ascii="Arial" w:hAnsi="Arial" w:cs="Arial"/>
          <w:color w:val="232323"/>
        </w:rPr>
        <w:t xml:space="preserve">. </w:t>
      </w:r>
    </w:p>
    <w:p w:rsidR="00746948" w:rsidRPr="00746948" w:rsidRDefault="00746948" w:rsidP="00746948">
      <w:pPr>
        <w:jc w:val="both"/>
        <w:rPr>
          <w:rFonts w:ascii="Arial" w:eastAsia="Luxi Sans" w:hAnsi="Arial" w:cs="Arial"/>
          <w:bCs/>
        </w:rPr>
      </w:pPr>
    </w:p>
    <w:p w:rsidR="001A79AB" w:rsidRPr="001A79AB" w:rsidRDefault="001A79AB" w:rsidP="001A79AB">
      <w:pPr>
        <w:pStyle w:val="PargrafodaLista"/>
        <w:numPr>
          <w:ilvl w:val="0"/>
          <w:numId w:val="21"/>
        </w:numPr>
        <w:rPr>
          <w:rFonts w:ascii="Arial" w:eastAsia="Luxi Sans" w:hAnsi="Arial" w:cs="Arial"/>
          <w:b/>
          <w:bCs/>
        </w:rPr>
      </w:pPr>
      <w:r>
        <w:rPr>
          <w:rFonts w:ascii="Arial" w:eastAsia="Luxi Sans" w:hAnsi="Arial" w:cs="Arial"/>
          <w:b/>
          <w:bCs/>
        </w:rPr>
        <w:t>DA ANÁLISE DE ADMISSIBILIDADE PELA CORTE ESPECIAL</w:t>
      </w:r>
    </w:p>
    <w:p w:rsidR="00C52B8B" w:rsidRDefault="00D442B9" w:rsidP="00D442B9">
      <w:pPr>
        <w:pStyle w:val="Normal1"/>
        <w:spacing w:line="360" w:lineRule="auto"/>
        <w:ind w:firstLine="1134"/>
        <w:jc w:val="both"/>
        <w:rPr>
          <w:rFonts w:ascii="Arial" w:hAnsi="Arial" w:cs="Arial"/>
          <w:color w:val="000000"/>
        </w:rPr>
      </w:pPr>
      <w:r>
        <w:rPr>
          <w:rFonts w:ascii="Arial" w:hAnsi="Arial" w:cs="Arial"/>
          <w:color w:val="000000"/>
        </w:rPr>
        <w:t xml:space="preserve">Conforme abaixo abordaremos, de maneira incidental ao objeto deste Incidente, requer-se a declaração de inconstitucionalidade de dispositivos da Resolução 393/2016 que alterou o Regimento Interno da TNU. Diante disso, aplica-se o artigo </w:t>
      </w:r>
      <w:r w:rsidR="00400A40">
        <w:rPr>
          <w:rFonts w:ascii="Arial" w:hAnsi="Arial" w:cs="Arial"/>
          <w:color w:val="000000"/>
        </w:rPr>
        <w:t>357, I</w:t>
      </w:r>
      <w:r w:rsidR="00354349">
        <w:rPr>
          <w:rFonts w:ascii="Arial" w:hAnsi="Arial" w:cs="Arial"/>
          <w:color w:val="000000"/>
        </w:rPr>
        <w:t xml:space="preserve">, do Regimento Interno deste Egrégio Tribunal para atribuir o feito </w:t>
      </w:r>
      <w:r w:rsidR="00621053">
        <w:rPr>
          <w:rFonts w:ascii="Arial" w:hAnsi="Arial" w:cs="Arial"/>
          <w:color w:val="000000"/>
        </w:rPr>
        <w:t>à Corte Especial:</w:t>
      </w:r>
    </w:p>
    <w:tbl>
      <w:tblPr>
        <w:tblStyle w:val="Tabelacomgrade"/>
        <w:tblW w:w="0" w:type="auto"/>
        <w:tblInd w:w="2405" w:type="dxa"/>
        <w:tblLook w:val="04A0" w:firstRow="1" w:lastRow="0" w:firstColumn="1" w:lastColumn="0" w:noHBand="0" w:noVBand="1"/>
      </w:tblPr>
      <w:tblGrid>
        <w:gridCol w:w="6657"/>
      </w:tblGrid>
      <w:tr w:rsidR="00621053" w:rsidTr="00295FF3">
        <w:trPr>
          <w:trHeight w:val="896"/>
        </w:trPr>
        <w:tc>
          <w:tcPr>
            <w:tcW w:w="6657" w:type="dxa"/>
          </w:tcPr>
          <w:p w:rsidR="00621053" w:rsidRPr="00621053" w:rsidRDefault="00621053" w:rsidP="00621053">
            <w:pPr>
              <w:pStyle w:val="Normal1"/>
              <w:spacing w:before="0" w:beforeAutospacing="0" w:after="0" w:afterAutospacing="0"/>
              <w:ind w:left="171"/>
              <w:jc w:val="both"/>
              <w:rPr>
                <w:rFonts w:ascii="Arial" w:hAnsi="Arial" w:cs="Arial"/>
                <w:i/>
                <w:sz w:val="18"/>
                <w:szCs w:val="18"/>
              </w:rPr>
            </w:pPr>
            <w:r w:rsidRPr="00621053">
              <w:rPr>
                <w:rFonts w:ascii="Arial" w:hAnsi="Arial" w:cs="Arial"/>
                <w:i/>
                <w:sz w:val="18"/>
                <w:szCs w:val="18"/>
              </w:rPr>
              <w:t xml:space="preserve">Art. 357. O incidente de resolução de demandas repetitivas será julgado: </w:t>
            </w:r>
          </w:p>
          <w:p w:rsidR="00621053" w:rsidRPr="00621053" w:rsidRDefault="00621053" w:rsidP="00621053">
            <w:pPr>
              <w:pStyle w:val="Normal1"/>
              <w:spacing w:before="0" w:beforeAutospacing="0" w:after="0" w:afterAutospacing="0"/>
              <w:ind w:left="171"/>
              <w:jc w:val="both"/>
              <w:rPr>
                <w:rFonts w:ascii="Arial" w:hAnsi="Arial" w:cs="Arial"/>
                <w:i/>
                <w:sz w:val="18"/>
                <w:szCs w:val="18"/>
              </w:rPr>
            </w:pPr>
          </w:p>
          <w:p w:rsidR="00621053" w:rsidRPr="00295FF3" w:rsidRDefault="00621053" w:rsidP="00295FF3">
            <w:pPr>
              <w:pStyle w:val="Normal1"/>
              <w:spacing w:before="0" w:beforeAutospacing="0" w:after="0" w:afterAutospacing="0"/>
              <w:ind w:left="171"/>
              <w:jc w:val="both"/>
              <w:rPr>
                <w:rFonts w:ascii="Arial" w:hAnsi="Arial" w:cs="Arial"/>
                <w:color w:val="000000"/>
              </w:rPr>
            </w:pPr>
            <w:r w:rsidRPr="00621053">
              <w:rPr>
                <w:rFonts w:ascii="Arial" w:hAnsi="Arial" w:cs="Arial"/>
                <w:i/>
                <w:sz w:val="18"/>
                <w:szCs w:val="18"/>
              </w:rPr>
              <w:t xml:space="preserve">I – </w:t>
            </w:r>
            <w:r w:rsidRPr="00295FF3">
              <w:rPr>
                <w:rFonts w:ascii="Arial" w:hAnsi="Arial" w:cs="Arial"/>
                <w:b/>
                <w:i/>
                <w:sz w:val="18"/>
                <w:szCs w:val="18"/>
              </w:rPr>
              <w:t>pela Corte Especial, quando a matéria envolver arguição de inconstitucionalidade</w:t>
            </w:r>
            <w:r w:rsidRPr="00621053">
              <w:rPr>
                <w:rFonts w:ascii="Arial" w:hAnsi="Arial" w:cs="Arial"/>
                <w:i/>
                <w:sz w:val="18"/>
                <w:szCs w:val="18"/>
              </w:rPr>
              <w:t xml:space="preserve"> ou a competência de mais de uma seção especializada;”</w:t>
            </w:r>
            <w:r w:rsidR="00295FF3">
              <w:rPr>
                <w:rFonts w:ascii="Arial" w:hAnsi="Arial" w:cs="Arial"/>
                <w:i/>
                <w:sz w:val="18"/>
                <w:szCs w:val="18"/>
              </w:rPr>
              <w:t xml:space="preserve"> </w:t>
            </w:r>
            <w:proofErr w:type="gramStart"/>
            <w:r w:rsidR="00295FF3">
              <w:rPr>
                <w:rFonts w:ascii="Arial" w:hAnsi="Arial" w:cs="Arial"/>
                <w:i/>
                <w:sz w:val="18"/>
                <w:szCs w:val="18"/>
              </w:rPr>
              <w:t>( grifamos</w:t>
            </w:r>
            <w:proofErr w:type="gramEnd"/>
            <w:r w:rsidR="00295FF3">
              <w:rPr>
                <w:rFonts w:ascii="Arial" w:hAnsi="Arial" w:cs="Arial"/>
                <w:i/>
                <w:sz w:val="18"/>
                <w:szCs w:val="18"/>
              </w:rPr>
              <w:t>)</w:t>
            </w:r>
          </w:p>
        </w:tc>
      </w:tr>
    </w:tbl>
    <w:p w:rsidR="00061A82" w:rsidRDefault="00061A82" w:rsidP="00061A82">
      <w:pPr>
        <w:pStyle w:val="PargrafodaLista"/>
        <w:tabs>
          <w:tab w:val="left" w:pos="720"/>
        </w:tabs>
        <w:spacing w:before="100" w:beforeAutospacing="1" w:after="100" w:afterAutospacing="1"/>
        <w:ind w:left="360"/>
        <w:jc w:val="both"/>
        <w:rPr>
          <w:rFonts w:ascii="Arial" w:eastAsia="HG Mincho Light J" w:hAnsi="Arial" w:cs="Arial"/>
          <w:color w:val="000000"/>
        </w:rPr>
      </w:pPr>
    </w:p>
    <w:p w:rsidR="00061A82" w:rsidRDefault="00061A82" w:rsidP="00061A82">
      <w:pPr>
        <w:pStyle w:val="PargrafodaLista"/>
        <w:tabs>
          <w:tab w:val="left" w:pos="720"/>
        </w:tabs>
        <w:spacing w:before="100" w:beforeAutospacing="1" w:after="100" w:afterAutospacing="1"/>
        <w:ind w:left="360"/>
        <w:jc w:val="both"/>
        <w:rPr>
          <w:rFonts w:ascii="Arial" w:eastAsia="HG Mincho Light J" w:hAnsi="Arial" w:cs="Arial"/>
          <w:color w:val="000000"/>
        </w:rPr>
      </w:pPr>
    </w:p>
    <w:p w:rsidR="00061A82" w:rsidRDefault="00061A82" w:rsidP="00061A82">
      <w:pPr>
        <w:pStyle w:val="PargrafodaLista"/>
        <w:tabs>
          <w:tab w:val="left" w:pos="720"/>
        </w:tabs>
        <w:spacing w:before="100" w:beforeAutospacing="1" w:after="100" w:afterAutospacing="1"/>
        <w:ind w:left="360"/>
        <w:jc w:val="both"/>
        <w:rPr>
          <w:rFonts w:ascii="Arial" w:eastAsia="HG Mincho Light J" w:hAnsi="Arial" w:cs="Arial"/>
          <w:color w:val="000000"/>
        </w:rPr>
      </w:pPr>
    </w:p>
    <w:p w:rsidR="00061A82" w:rsidRDefault="00061A82" w:rsidP="00061A82">
      <w:pPr>
        <w:pStyle w:val="PargrafodaLista"/>
        <w:tabs>
          <w:tab w:val="left" w:pos="720"/>
        </w:tabs>
        <w:spacing w:before="100" w:beforeAutospacing="1" w:after="100" w:afterAutospacing="1"/>
        <w:ind w:left="360"/>
        <w:jc w:val="both"/>
        <w:rPr>
          <w:rFonts w:ascii="Arial" w:eastAsia="HG Mincho Light J" w:hAnsi="Arial" w:cs="Arial"/>
          <w:color w:val="000000"/>
        </w:rPr>
      </w:pPr>
    </w:p>
    <w:p w:rsidR="00061A82" w:rsidRDefault="00061A82" w:rsidP="00061A82">
      <w:pPr>
        <w:pStyle w:val="PargrafodaLista"/>
        <w:tabs>
          <w:tab w:val="left" w:pos="720"/>
        </w:tabs>
        <w:spacing w:before="100" w:beforeAutospacing="1" w:after="100" w:afterAutospacing="1"/>
        <w:ind w:left="360"/>
        <w:jc w:val="both"/>
        <w:rPr>
          <w:rFonts w:ascii="Arial" w:eastAsia="HG Mincho Light J" w:hAnsi="Arial" w:cs="Arial"/>
          <w:color w:val="000000"/>
        </w:rPr>
      </w:pPr>
    </w:p>
    <w:p w:rsidR="00061A82" w:rsidRDefault="00061A82" w:rsidP="00061A82">
      <w:pPr>
        <w:pStyle w:val="PargrafodaLista"/>
        <w:tabs>
          <w:tab w:val="left" w:pos="720"/>
        </w:tabs>
        <w:spacing w:before="100" w:beforeAutospacing="1" w:after="100" w:afterAutospacing="1"/>
        <w:ind w:left="360"/>
        <w:jc w:val="both"/>
        <w:rPr>
          <w:rFonts w:ascii="Arial" w:eastAsia="HG Mincho Light J" w:hAnsi="Arial" w:cs="Arial"/>
          <w:color w:val="000000"/>
        </w:rPr>
      </w:pPr>
    </w:p>
    <w:p w:rsidR="00061A82" w:rsidRPr="00061A82" w:rsidRDefault="00061A82" w:rsidP="00061A82">
      <w:pPr>
        <w:pStyle w:val="PargrafodaLista"/>
        <w:tabs>
          <w:tab w:val="left" w:pos="720"/>
        </w:tabs>
        <w:spacing w:before="100" w:beforeAutospacing="1" w:after="100" w:afterAutospacing="1"/>
        <w:ind w:left="360"/>
        <w:jc w:val="both"/>
        <w:rPr>
          <w:rFonts w:ascii="Arial" w:eastAsia="HG Mincho Light J" w:hAnsi="Arial" w:cs="Arial"/>
          <w:color w:val="000000"/>
        </w:rPr>
      </w:pPr>
    </w:p>
    <w:p w:rsidR="00C52B8B" w:rsidRPr="003C750F" w:rsidRDefault="00C52B8B" w:rsidP="00295FF3">
      <w:pPr>
        <w:pStyle w:val="PargrafodaLista"/>
        <w:numPr>
          <w:ilvl w:val="0"/>
          <w:numId w:val="21"/>
        </w:numPr>
        <w:tabs>
          <w:tab w:val="left" w:pos="720"/>
        </w:tabs>
        <w:spacing w:before="100" w:beforeAutospacing="1" w:after="100" w:afterAutospacing="1"/>
        <w:jc w:val="both"/>
        <w:rPr>
          <w:rFonts w:ascii="Arial" w:eastAsia="HG Mincho Light J" w:hAnsi="Arial" w:cs="Arial"/>
          <w:color w:val="000000"/>
        </w:rPr>
      </w:pPr>
      <w:r w:rsidRPr="00295FF3">
        <w:rPr>
          <w:rFonts w:ascii="Arial" w:eastAsia="HG Mincho Light J" w:hAnsi="Arial" w:cs="Arial"/>
          <w:b/>
          <w:color w:val="000000"/>
        </w:rPr>
        <w:lastRenderedPageBreak/>
        <w:t xml:space="preserve">DOS PRESSUPOSTOS DE ADMISSIBILIDADE  </w:t>
      </w:r>
    </w:p>
    <w:p w:rsidR="003C750F" w:rsidRDefault="00340116" w:rsidP="003C750F">
      <w:pPr>
        <w:tabs>
          <w:tab w:val="left" w:pos="720"/>
        </w:tabs>
        <w:spacing w:before="100" w:beforeAutospacing="1" w:after="100" w:afterAutospacing="1"/>
        <w:ind w:firstLine="1134"/>
        <w:jc w:val="both"/>
        <w:rPr>
          <w:rFonts w:ascii="Arial" w:eastAsia="HG Mincho Light J" w:hAnsi="Arial" w:cs="Arial"/>
          <w:color w:val="000000"/>
        </w:rPr>
      </w:pPr>
      <w:r>
        <w:rPr>
          <w:rFonts w:ascii="Arial" w:eastAsia="HG Mincho Light J" w:hAnsi="Arial" w:cs="Arial"/>
          <w:color w:val="000000"/>
        </w:rPr>
        <w:t>Consoante o</w:t>
      </w:r>
      <w:r w:rsidR="003C750F">
        <w:rPr>
          <w:rFonts w:ascii="Arial" w:eastAsia="HG Mincho Light J" w:hAnsi="Arial" w:cs="Arial"/>
          <w:color w:val="000000"/>
        </w:rPr>
        <w:t xml:space="preserve"> artigo 976, caput</w:t>
      </w:r>
      <w:r>
        <w:rPr>
          <w:rFonts w:ascii="Arial" w:eastAsia="HG Mincho Light J" w:hAnsi="Arial" w:cs="Arial"/>
          <w:color w:val="000000"/>
        </w:rPr>
        <w:t xml:space="preserve"> e</w:t>
      </w:r>
      <w:r w:rsidR="003C750F">
        <w:rPr>
          <w:rFonts w:ascii="Arial" w:eastAsia="HG Mincho Light J" w:hAnsi="Arial" w:cs="Arial"/>
          <w:color w:val="000000"/>
        </w:rPr>
        <w:t xml:space="preserve"> Incisos I e </w:t>
      </w:r>
      <w:r w:rsidR="00412E11">
        <w:rPr>
          <w:rFonts w:ascii="Arial" w:eastAsia="HG Mincho Light J" w:hAnsi="Arial" w:cs="Arial"/>
          <w:color w:val="000000"/>
        </w:rPr>
        <w:t>II, do</w:t>
      </w:r>
      <w:r w:rsidR="003C750F">
        <w:rPr>
          <w:rFonts w:ascii="Arial" w:eastAsia="HG Mincho Light J" w:hAnsi="Arial" w:cs="Arial"/>
          <w:color w:val="000000"/>
        </w:rPr>
        <w:t xml:space="preserve"> CPC/2015, exige</w:t>
      </w:r>
      <w:r>
        <w:rPr>
          <w:rFonts w:ascii="Arial" w:eastAsia="HG Mincho Light J" w:hAnsi="Arial" w:cs="Arial"/>
          <w:color w:val="000000"/>
        </w:rPr>
        <w:t>-se</w:t>
      </w:r>
      <w:r w:rsidR="003C750F">
        <w:rPr>
          <w:rFonts w:ascii="Arial" w:eastAsia="HG Mincho Light J" w:hAnsi="Arial" w:cs="Arial"/>
          <w:color w:val="000000"/>
        </w:rPr>
        <w:t xml:space="preserve"> dois pressupostos de admissibilidade com ocorrência simultânea para admissão do IRDR. São eles:</w:t>
      </w:r>
    </w:p>
    <w:p w:rsidR="00340116" w:rsidRPr="00340116" w:rsidRDefault="00186315" w:rsidP="00340116">
      <w:pPr>
        <w:pStyle w:val="artigo"/>
        <w:ind w:left="2268"/>
        <w:rPr>
          <w:rFonts w:ascii="Arial" w:hAnsi="Arial" w:cs="Arial"/>
          <w:i/>
          <w:sz w:val="18"/>
          <w:szCs w:val="18"/>
        </w:rPr>
      </w:pPr>
      <w:r>
        <w:rPr>
          <w:rFonts w:ascii="Arial" w:hAnsi="Arial" w:cs="Arial"/>
          <w:i/>
          <w:sz w:val="18"/>
          <w:szCs w:val="18"/>
        </w:rPr>
        <w:t>“</w:t>
      </w:r>
      <w:r w:rsidR="00340116" w:rsidRPr="00340116">
        <w:rPr>
          <w:rFonts w:ascii="Arial" w:hAnsi="Arial" w:cs="Arial"/>
          <w:i/>
          <w:sz w:val="18"/>
          <w:szCs w:val="18"/>
        </w:rPr>
        <w:t>I</w:t>
      </w:r>
      <w:bookmarkStart w:id="1" w:name="art976i"/>
      <w:bookmarkEnd w:id="1"/>
      <w:r w:rsidR="003C750F" w:rsidRPr="00340116">
        <w:rPr>
          <w:rFonts w:ascii="Arial" w:hAnsi="Arial" w:cs="Arial"/>
          <w:i/>
          <w:sz w:val="18"/>
          <w:szCs w:val="18"/>
        </w:rPr>
        <w:t xml:space="preserve"> - efetiva </w:t>
      </w:r>
      <w:r w:rsidR="003C750F" w:rsidRPr="00186315">
        <w:rPr>
          <w:rFonts w:ascii="Arial" w:hAnsi="Arial" w:cs="Arial"/>
          <w:b/>
          <w:i/>
          <w:sz w:val="18"/>
          <w:szCs w:val="18"/>
        </w:rPr>
        <w:t>repetição de processos que contenham controvérsia sobre a mesma questão unicamente de direito</w:t>
      </w:r>
      <w:r w:rsidR="003C750F" w:rsidRPr="00340116">
        <w:rPr>
          <w:rFonts w:ascii="Arial" w:hAnsi="Arial" w:cs="Arial"/>
          <w:i/>
          <w:sz w:val="18"/>
          <w:szCs w:val="18"/>
        </w:rPr>
        <w:t>;</w:t>
      </w:r>
      <w:bookmarkStart w:id="2" w:name="art976ii"/>
      <w:bookmarkEnd w:id="2"/>
    </w:p>
    <w:p w:rsidR="003C750F" w:rsidRPr="00340116" w:rsidRDefault="003C750F" w:rsidP="00340116">
      <w:pPr>
        <w:pStyle w:val="artigo"/>
        <w:ind w:left="2268"/>
        <w:rPr>
          <w:rFonts w:ascii="Arial" w:hAnsi="Arial" w:cs="Arial"/>
          <w:i/>
          <w:sz w:val="18"/>
          <w:szCs w:val="18"/>
        </w:rPr>
      </w:pPr>
      <w:r w:rsidRPr="00340116">
        <w:rPr>
          <w:rFonts w:ascii="Arial" w:hAnsi="Arial" w:cs="Arial"/>
          <w:i/>
          <w:sz w:val="18"/>
          <w:szCs w:val="18"/>
        </w:rPr>
        <w:t xml:space="preserve">II - </w:t>
      </w:r>
      <w:r w:rsidRPr="00186315">
        <w:rPr>
          <w:rFonts w:ascii="Arial" w:hAnsi="Arial" w:cs="Arial"/>
          <w:b/>
          <w:i/>
          <w:sz w:val="18"/>
          <w:szCs w:val="18"/>
        </w:rPr>
        <w:t>risco de ofensa à isonomia e à segurança jurídica</w:t>
      </w:r>
      <w:r w:rsidRPr="00340116">
        <w:rPr>
          <w:rFonts w:ascii="Arial" w:hAnsi="Arial" w:cs="Arial"/>
          <w:i/>
          <w:sz w:val="18"/>
          <w:szCs w:val="18"/>
        </w:rPr>
        <w:t>.</w:t>
      </w:r>
      <w:r w:rsidR="00186315">
        <w:rPr>
          <w:rFonts w:ascii="Arial" w:hAnsi="Arial" w:cs="Arial"/>
          <w:i/>
          <w:sz w:val="18"/>
          <w:szCs w:val="18"/>
        </w:rPr>
        <w:t>”</w:t>
      </w:r>
    </w:p>
    <w:p w:rsidR="003C750F" w:rsidRDefault="00186315" w:rsidP="00186315">
      <w:pPr>
        <w:tabs>
          <w:tab w:val="left" w:pos="720"/>
        </w:tabs>
        <w:spacing w:before="100" w:beforeAutospacing="1" w:after="100" w:afterAutospacing="1"/>
        <w:jc w:val="both"/>
        <w:rPr>
          <w:rFonts w:ascii="Arial" w:eastAsia="HG Mincho Light J" w:hAnsi="Arial" w:cs="Arial"/>
          <w:color w:val="000000"/>
        </w:rPr>
      </w:pPr>
      <w:r>
        <w:rPr>
          <w:rFonts w:ascii="Arial" w:eastAsia="HG Mincho Light J" w:hAnsi="Arial" w:cs="Arial"/>
          <w:color w:val="000000"/>
        </w:rPr>
        <w:tab/>
        <w:t xml:space="preserve"> Nos subtópicos a seguir, no sentido de aperfeiçoar a cognição desta </w:t>
      </w:r>
      <w:r w:rsidR="00966E19">
        <w:rPr>
          <w:rFonts w:ascii="Arial" w:eastAsia="HG Mincho Light J" w:hAnsi="Arial" w:cs="Arial"/>
          <w:color w:val="000000"/>
        </w:rPr>
        <w:t xml:space="preserve">Corte Especial e a inteligibilidade dos temas que trazemos à </w:t>
      </w:r>
      <w:r w:rsidR="00B352D6">
        <w:rPr>
          <w:rFonts w:ascii="Arial" w:eastAsia="HG Mincho Light J" w:hAnsi="Arial" w:cs="Arial"/>
          <w:color w:val="000000"/>
        </w:rPr>
        <w:t>baila, apresentaremos</w:t>
      </w:r>
      <w:r>
        <w:rPr>
          <w:rFonts w:ascii="Arial" w:eastAsia="HG Mincho Light J" w:hAnsi="Arial" w:cs="Arial"/>
          <w:color w:val="000000"/>
        </w:rPr>
        <w:t xml:space="preserve"> a origem da controvérsia interpretativa</w:t>
      </w:r>
      <w:r w:rsidR="00966E19">
        <w:rPr>
          <w:rFonts w:ascii="Arial" w:eastAsia="HG Mincho Light J" w:hAnsi="Arial" w:cs="Arial"/>
          <w:color w:val="000000"/>
        </w:rPr>
        <w:t xml:space="preserve"> e, objetivamente, os respectivos feitos </w:t>
      </w:r>
      <w:r w:rsidR="00B352D6">
        <w:rPr>
          <w:rFonts w:ascii="Arial" w:eastAsia="HG Mincho Light J" w:hAnsi="Arial" w:cs="Arial"/>
          <w:color w:val="000000"/>
        </w:rPr>
        <w:t>(com</w:t>
      </w:r>
      <w:r w:rsidR="00966E19">
        <w:rPr>
          <w:rFonts w:ascii="Arial" w:eastAsia="HG Mincho Light J" w:hAnsi="Arial" w:cs="Arial"/>
          <w:color w:val="000000"/>
        </w:rPr>
        <w:t xml:space="preserve"> suas decisões anexadas a este incidente) que demonstram a controvérsia sobre a mesma questão de direito, bem como o risco de ofensa à segurança jurídica.</w:t>
      </w:r>
    </w:p>
    <w:p w:rsidR="00966E19" w:rsidRDefault="00966E19" w:rsidP="00966E19">
      <w:pPr>
        <w:pStyle w:val="PargrafodaLista"/>
        <w:numPr>
          <w:ilvl w:val="1"/>
          <w:numId w:val="21"/>
        </w:numPr>
        <w:tabs>
          <w:tab w:val="left" w:pos="720"/>
        </w:tabs>
        <w:spacing w:line="240" w:lineRule="auto"/>
        <w:jc w:val="both"/>
        <w:rPr>
          <w:rFonts w:ascii="Arial" w:eastAsia="HG Mincho Light J" w:hAnsi="Arial" w:cs="Arial"/>
          <w:b/>
          <w:color w:val="000000"/>
        </w:rPr>
      </w:pPr>
      <w:r>
        <w:rPr>
          <w:rFonts w:ascii="Arial" w:eastAsia="HG Mincho Light J" w:hAnsi="Arial" w:cs="Arial"/>
          <w:b/>
          <w:color w:val="000000"/>
        </w:rPr>
        <w:t>Do breve histórico do processo originário e o que deu causa à controvérsia interpretativa, ora suscitada neste Incidente:</w:t>
      </w:r>
    </w:p>
    <w:p w:rsidR="00966E19" w:rsidRDefault="00966E19" w:rsidP="00966E19">
      <w:pPr>
        <w:tabs>
          <w:tab w:val="left" w:pos="720"/>
        </w:tabs>
        <w:spacing w:line="240" w:lineRule="auto"/>
        <w:jc w:val="both"/>
        <w:rPr>
          <w:rFonts w:ascii="Arial" w:eastAsia="HG Mincho Light J" w:hAnsi="Arial" w:cs="Arial"/>
          <w:b/>
          <w:color w:val="000000"/>
        </w:rPr>
      </w:pPr>
    </w:p>
    <w:p w:rsidR="00B352D6" w:rsidRDefault="00B352D6" w:rsidP="00517019">
      <w:pPr>
        <w:tabs>
          <w:tab w:val="left" w:pos="720"/>
        </w:tabs>
        <w:ind w:firstLine="1134"/>
        <w:jc w:val="both"/>
        <w:rPr>
          <w:rFonts w:ascii="Arial" w:eastAsia="HG Mincho Light J" w:hAnsi="Arial" w:cs="Arial"/>
          <w:color w:val="000000"/>
        </w:rPr>
      </w:pPr>
    </w:p>
    <w:p w:rsidR="004D077E" w:rsidRDefault="004B50A3" w:rsidP="006A3B47">
      <w:pPr>
        <w:tabs>
          <w:tab w:val="left" w:pos="720"/>
        </w:tabs>
        <w:ind w:firstLine="1134"/>
        <w:jc w:val="both"/>
        <w:rPr>
          <w:rFonts w:ascii="Arial" w:eastAsia="HG Mincho Light J" w:hAnsi="Arial" w:cs="Arial"/>
          <w:color w:val="000000"/>
        </w:rPr>
      </w:pPr>
      <w:r w:rsidRPr="00A31A04">
        <w:rPr>
          <w:rFonts w:ascii="Arial" w:eastAsia="HG Mincho Light J" w:hAnsi="Arial" w:cs="Arial"/>
          <w:color w:val="000000"/>
        </w:rPr>
        <w:t>A parte Autora</w:t>
      </w:r>
      <w:r>
        <w:rPr>
          <w:rFonts w:ascii="Arial" w:eastAsia="HG Mincho Light J" w:hAnsi="Arial" w:cs="Arial"/>
          <w:color w:val="000000"/>
        </w:rPr>
        <w:t>, no processo originário do JEF- Subseção Judiciária de Muriaé-MG</w:t>
      </w:r>
      <w:r w:rsidR="004D077E">
        <w:rPr>
          <w:rFonts w:ascii="Arial" w:eastAsia="HG Mincho Light J" w:hAnsi="Arial" w:cs="Arial"/>
          <w:color w:val="000000"/>
        </w:rPr>
        <w:t xml:space="preserve"> (</w:t>
      </w:r>
      <w:r w:rsidR="004D077E">
        <w:rPr>
          <w:rFonts w:ascii="Arial" w:hAnsi="Arial" w:cs="Arial"/>
          <w:color w:val="000000"/>
        </w:rPr>
        <w:t>1871-63.2012.4.01.3821</w:t>
      </w:r>
      <w:proofErr w:type="gramStart"/>
      <w:r w:rsidR="004D077E">
        <w:rPr>
          <w:rFonts w:ascii="Arial" w:hAnsi="Arial" w:cs="Arial"/>
          <w:color w:val="000000"/>
        </w:rPr>
        <w:t>)</w:t>
      </w:r>
      <w:r>
        <w:rPr>
          <w:rFonts w:ascii="Arial" w:eastAsia="HG Mincho Light J" w:hAnsi="Arial" w:cs="Arial"/>
          <w:color w:val="000000"/>
        </w:rPr>
        <w:t xml:space="preserve">, </w:t>
      </w:r>
      <w:r w:rsidRPr="00A31A04">
        <w:rPr>
          <w:rFonts w:ascii="Arial" w:eastAsia="HG Mincho Light J" w:hAnsi="Arial" w:cs="Arial"/>
          <w:color w:val="000000"/>
        </w:rPr>
        <w:t xml:space="preserve"> </w:t>
      </w:r>
      <w:r>
        <w:rPr>
          <w:rFonts w:ascii="Arial" w:eastAsia="HG Mincho Light J" w:hAnsi="Arial" w:cs="Arial"/>
          <w:color w:val="000000"/>
        </w:rPr>
        <w:t>procurou</w:t>
      </w:r>
      <w:proofErr w:type="gramEnd"/>
      <w:r w:rsidR="004D077E">
        <w:rPr>
          <w:rFonts w:ascii="Arial" w:eastAsia="HG Mincho Light J" w:hAnsi="Arial" w:cs="Arial"/>
          <w:color w:val="000000"/>
        </w:rPr>
        <w:t xml:space="preserve"> o Poder Judiciário para corrigir a falha do INSS que denegou, indevidamente, seu pedido de aposentadoria por idade rural</w:t>
      </w:r>
      <w:r w:rsidRPr="00A31A04">
        <w:rPr>
          <w:rFonts w:ascii="Arial" w:eastAsia="HG Mincho Light J" w:hAnsi="Arial" w:cs="Arial"/>
          <w:color w:val="000000"/>
        </w:rPr>
        <w:t xml:space="preserve">. </w:t>
      </w:r>
    </w:p>
    <w:p w:rsidR="004B50A3" w:rsidRDefault="004B50A3" w:rsidP="006A3B47">
      <w:pPr>
        <w:tabs>
          <w:tab w:val="left" w:pos="720"/>
        </w:tabs>
        <w:ind w:firstLine="1134"/>
        <w:jc w:val="both"/>
        <w:rPr>
          <w:rFonts w:ascii="Arial" w:eastAsia="HG Mincho Light J" w:hAnsi="Arial" w:cs="Arial"/>
          <w:color w:val="000000"/>
        </w:rPr>
      </w:pPr>
      <w:r w:rsidRPr="00A31A04">
        <w:rPr>
          <w:rFonts w:ascii="Arial" w:eastAsia="HG Mincho Light J" w:hAnsi="Arial" w:cs="Arial"/>
          <w:color w:val="000000"/>
        </w:rPr>
        <w:t xml:space="preserve">Ocorre que </w:t>
      </w:r>
      <w:r w:rsidRPr="008B672A">
        <w:rPr>
          <w:rFonts w:ascii="Arial" w:eastAsia="HG Mincho Light J" w:hAnsi="Arial" w:cs="Arial"/>
          <w:b/>
          <w:color w:val="000000"/>
        </w:rPr>
        <w:t>a r. Sentença da 1ª Vara do JEF da Subseção Judiciária de Muriaé-MG</w:t>
      </w:r>
      <w:r w:rsidR="00517019">
        <w:rPr>
          <w:rFonts w:ascii="Arial" w:eastAsia="HG Mincho Light J" w:hAnsi="Arial" w:cs="Arial"/>
          <w:b/>
          <w:color w:val="000000"/>
        </w:rPr>
        <w:t xml:space="preserve"> </w:t>
      </w:r>
      <w:r w:rsidR="00B352D6">
        <w:rPr>
          <w:rFonts w:ascii="Arial" w:eastAsia="HG Mincho Light J" w:hAnsi="Arial" w:cs="Arial"/>
          <w:color w:val="000000"/>
        </w:rPr>
        <w:t>(cópia</w:t>
      </w:r>
      <w:r w:rsidR="00517019">
        <w:rPr>
          <w:rFonts w:ascii="Arial" w:eastAsia="HG Mincho Light J" w:hAnsi="Arial" w:cs="Arial"/>
          <w:color w:val="000000"/>
        </w:rPr>
        <w:t xml:space="preserve"> anexa)</w:t>
      </w:r>
      <w:r w:rsidRPr="008B672A">
        <w:rPr>
          <w:rFonts w:ascii="Arial" w:eastAsia="HG Mincho Light J" w:hAnsi="Arial" w:cs="Arial"/>
          <w:b/>
          <w:color w:val="000000"/>
        </w:rPr>
        <w:t>, julgou improcedente o pedido, sob as alegações de que a autora deveria provar que exercera atividades rurais por períodos contínuos desde outubro de 1996, ou seja, 15 anos</w:t>
      </w:r>
      <w:r>
        <w:rPr>
          <w:rFonts w:ascii="Arial" w:eastAsia="HG Mincho Light J" w:hAnsi="Arial" w:cs="Arial"/>
          <w:color w:val="000000"/>
        </w:rPr>
        <w:t xml:space="preserve"> </w:t>
      </w:r>
      <w:r w:rsidR="00B352D6">
        <w:rPr>
          <w:rFonts w:ascii="Arial" w:eastAsia="HG Mincho Light J" w:hAnsi="Arial" w:cs="Arial"/>
          <w:color w:val="000000"/>
        </w:rPr>
        <w:t>(180</w:t>
      </w:r>
      <w:r>
        <w:rPr>
          <w:rFonts w:ascii="Arial" w:eastAsia="HG Mincho Light J" w:hAnsi="Arial" w:cs="Arial"/>
          <w:color w:val="000000"/>
        </w:rPr>
        <w:t xml:space="preserve"> meses) antes de implementar os requisitos para concessão da aposentadoria.</w:t>
      </w:r>
    </w:p>
    <w:p w:rsidR="004B50A3" w:rsidRPr="008B672A" w:rsidRDefault="004B50A3" w:rsidP="00C067AF">
      <w:pPr>
        <w:ind w:firstLine="1134"/>
        <w:jc w:val="both"/>
        <w:rPr>
          <w:rFonts w:ascii="Arial" w:eastAsia="HG Mincho Light J" w:hAnsi="Arial" w:cs="Arial"/>
          <w:color w:val="000000"/>
        </w:rPr>
      </w:pPr>
      <w:r>
        <w:rPr>
          <w:rFonts w:ascii="Arial" w:eastAsia="HG Mincho Light J" w:hAnsi="Arial" w:cs="Arial"/>
          <w:color w:val="000000"/>
        </w:rPr>
        <w:t xml:space="preserve">Nas razões de decidir pela improcedência, </w:t>
      </w:r>
      <w:r w:rsidRPr="008B672A">
        <w:rPr>
          <w:rFonts w:ascii="Arial" w:eastAsia="HG Mincho Light J" w:hAnsi="Arial" w:cs="Arial"/>
          <w:b/>
          <w:color w:val="000000"/>
          <w:u w:val="single"/>
        </w:rPr>
        <w:t xml:space="preserve">o juiz </w:t>
      </w:r>
      <w:r w:rsidRPr="008B672A">
        <w:rPr>
          <w:rFonts w:ascii="Arial" w:eastAsia="HG Mincho Light J" w:hAnsi="Arial" w:cs="Arial"/>
          <w:b/>
          <w:i/>
          <w:color w:val="000000"/>
          <w:u w:val="single"/>
        </w:rPr>
        <w:t>a quo</w:t>
      </w:r>
      <w:r w:rsidRPr="008B672A">
        <w:rPr>
          <w:rFonts w:ascii="Arial" w:eastAsia="HG Mincho Light J" w:hAnsi="Arial" w:cs="Arial"/>
          <w:b/>
          <w:color w:val="000000"/>
          <w:u w:val="single"/>
        </w:rPr>
        <w:t xml:space="preserve"> reconheceu a certidão do Cartório de Registro de Imóveis como inicio razoável de prova material</w:t>
      </w:r>
      <w:r>
        <w:rPr>
          <w:rFonts w:ascii="Arial" w:eastAsia="HG Mincho Light J" w:hAnsi="Arial" w:cs="Arial"/>
          <w:color w:val="000000"/>
        </w:rPr>
        <w:t xml:space="preserve">, e que foi, inclusive </w:t>
      </w:r>
      <w:r w:rsidRPr="00F3164A">
        <w:rPr>
          <w:rFonts w:ascii="Arial" w:eastAsia="HG Mincho Light J" w:hAnsi="Arial" w:cs="Arial"/>
          <w:b/>
          <w:color w:val="000000"/>
          <w:u w:val="single"/>
        </w:rPr>
        <w:t>reconhecido pela Turma Recursal de Juiz de Fora como indício de prova, porém insuficiente para indicar o exercício do trabalho rural pelos 15 anos necessários ao trabalho rural, pois anterior a 1996.</w:t>
      </w:r>
      <w:r w:rsidRPr="00F3164A">
        <w:rPr>
          <w:rFonts w:ascii="Arial" w:eastAsia="HG Mincho Light J" w:hAnsi="Arial" w:cs="Arial"/>
          <w:b/>
          <w:color w:val="000000"/>
        </w:rPr>
        <w:tab/>
      </w:r>
      <w:r w:rsidR="00C067AF">
        <w:rPr>
          <w:rFonts w:ascii="Arial" w:eastAsia="HG Mincho Light J" w:hAnsi="Arial" w:cs="Arial"/>
          <w:color w:val="000000"/>
        </w:rPr>
        <w:tab/>
        <w:t xml:space="preserve">      </w:t>
      </w:r>
      <w:r>
        <w:rPr>
          <w:rFonts w:ascii="Arial" w:eastAsia="HG Mincho Light J" w:hAnsi="Arial" w:cs="Arial"/>
          <w:color w:val="000000"/>
        </w:rPr>
        <w:t>Ainda, nas razões de decidir pela improcedência, alegou</w:t>
      </w:r>
      <w:r w:rsidR="000622BB">
        <w:rPr>
          <w:rFonts w:ascii="Arial" w:eastAsia="HG Mincho Light J" w:hAnsi="Arial" w:cs="Arial"/>
          <w:color w:val="000000"/>
        </w:rPr>
        <w:t xml:space="preserve"> o juízo primevo</w:t>
      </w:r>
      <w:r>
        <w:rPr>
          <w:rFonts w:ascii="Arial" w:eastAsia="HG Mincho Light J" w:hAnsi="Arial" w:cs="Arial"/>
          <w:color w:val="000000"/>
        </w:rPr>
        <w:t xml:space="preserve"> </w:t>
      </w:r>
      <w:r>
        <w:rPr>
          <w:rFonts w:ascii="Arial" w:eastAsia="HG Mincho Light J" w:hAnsi="Arial" w:cs="Arial"/>
          <w:color w:val="000000"/>
        </w:rPr>
        <w:lastRenderedPageBreak/>
        <w:t xml:space="preserve">que </w:t>
      </w:r>
      <w:r w:rsidR="000622BB">
        <w:rPr>
          <w:rFonts w:ascii="Arial" w:eastAsia="HG Mincho Light J" w:hAnsi="Arial" w:cs="Arial"/>
          <w:color w:val="000000"/>
        </w:rPr>
        <w:t>o início de</w:t>
      </w:r>
      <w:r>
        <w:rPr>
          <w:rFonts w:ascii="Arial" w:eastAsia="HG Mincho Light J" w:hAnsi="Arial" w:cs="Arial"/>
          <w:color w:val="000000"/>
        </w:rPr>
        <w:t xml:space="preserve"> prova material</w:t>
      </w:r>
      <w:r w:rsidR="000622BB">
        <w:rPr>
          <w:rFonts w:ascii="Arial" w:eastAsia="HG Mincho Light J" w:hAnsi="Arial" w:cs="Arial"/>
          <w:color w:val="000000"/>
        </w:rPr>
        <w:t xml:space="preserve"> apresentado</w:t>
      </w:r>
      <w:r>
        <w:rPr>
          <w:rFonts w:ascii="Arial" w:eastAsia="HG Mincho Light J" w:hAnsi="Arial" w:cs="Arial"/>
          <w:color w:val="000000"/>
        </w:rPr>
        <w:t xml:space="preserve"> </w:t>
      </w:r>
      <w:r w:rsidRPr="008B672A">
        <w:rPr>
          <w:rFonts w:ascii="Arial" w:eastAsia="HG Mincho Light J" w:hAnsi="Arial" w:cs="Arial"/>
          <w:b/>
          <w:color w:val="000000"/>
        </w:rPr>
        <w:t>teria</w:t>
      </w:r>
      <w:r>
        <w:rPr>
          <w:rFonts w:ascii="Arial" w:eastAsia="HG Mincho Light J" w:hAnsi="Arial" w:cs="Arial"/>
          <w:b/>
          <w:color w:val="000000"/>
        </w:rPr>
        <w:t xml:space="preserve"> pouco valor probatório</w:t>
      </w:r>
      <w:r>
        <w:rPr>
          <w:rFonts w:ascii="Arial" w:eastAsia="HG Mincho Light J" w:hAnsi="Arial" w:cs="Arial"/>
          <w:color w:val="000000"/>
        </w:rPr>
        <w:t xml:space="preserve">, mas não fundamentou a desvaloração </w:t>
      </w:r>
      <w:r w:rsidR="000D2E46">
        <w:rPr>
          <w:rFonts w:ascii="Arial" w:eastAsia="HG Mincho Light J" w:hAnsi="Arial" w:cs="Arial"/>
          <w:color w:val="000000"/>
        </w:rPr>
        <w:t>dos documentos juntados</w:t>
      </w:r>
      <w:r>
        <w:rPr>
          <w:rFonts w:ascii="Arial" w:eastAsia="HG Mincho Light J" w:hAnsi="Arial" w:cs="Arial"/>
          <w:color w:val="000000"/>
        </w:rPr>
        <w:t xml:space="preserve"> </w:t>
      </w:r>
      <w:r w:rsidR="00C067AF">
        <w:rPr>
          <w:rFonts w:ascii="Arial" w:eastAsia="HG Mincho Light J" w:hAnsi="Arial" w:cs="Arial"/>
          <w:color w:val="000000"/>
        </w:rPr>
        <w:t>e a</w:t>
      </w:r>
      <w:r w:rsidR="000622BB">
        <w:rPr>
          <w:rFonts w:ascii="Arial" w:eastAsia="HG Mincho Light J" w:hAnsi="Arial" w:cs="Arial"/>
          <w:color w:val="000000"/>
        </w:rPr>
        <w:t xml:space="preserve"> </w:t>
      </w:r>
      <w:r>
        <w:rPr>
          <w:rFonts w:ascii="Arial" w:eastAsia="HG Mincho Light J" w:hAnsi="Arial" w:cs="Arial"/>
          <w:color w:val="000000"/>
        </w:rPr>
        <w:t>sua força</w:t>
      </w:r>
      <w:r w:rsidR="000622BB">
        <w:rPr>
          <w:rFonts w:ascii="Arial" w:eastAsia="HG Mincho Light J" w:hAnsi="Arial" w:cs="Arial"/>
          <w:color w:val="000000"/>
        </w:rPr>
        <w:t xml:space="preserve"> </w:t>
      </w:r>
      <w:r w:rsidR="000622BB">
        <w:rPr>
          <w:rFonts w:ascii="Arial" w:eastAsia="HG Mincho Light J" w:hAnsi="Arial" w:cs="Arial"/>
          <w:i/>
          <w:color w:val="000000"/>
        </w:rPr>
        <w:t>probandi</w:t>
      </w:r>
      <w:r>
        <w:rPr>
          <w:rFonts w:ascii="Arial" w:eastAsia="HG Mincho Light J" w:hAnsi="Arial" w:cs="Arial"/>
          <w:color w:val="000000"/>
        </w:rPr>
        <w:t>.</w:t>
      </w:r>
    </w:p>
    <w:p w:rsidR="000D2E46" w:rsidRDefault="004B50A3" w:rsidP="006A3B47">
      <w:pPr>
        <w:tabs>
          <w:tab w:val="left" w:pos="720"/>
        </w:tabs>
        <w:ind w:firstLine="1134"/>
        <w:jc w:val="both"/>
        <w:rPr>
          <w:rFonts w:ascii="Arial" w:eastAsia="HG Mincho Light J" w:hAnsi="Arial" w:cs="Arial"/>
          <w:color w:val="000000"/>
        </w:rPr>
      </w:pPr>
      <w:r>
        <w:rPr>
          <w:rFonts w:ascii="Arial" w:eastAsia="HG Mincho Light J" w:hAnsi="Arial" w:cs="Arial"/>
          <w:color w:val="000000"/>
        </w:rPr>
        <w:t>De forma totalmente contrária ao posicionamento d</w:t>
      </w:r>
      <w:r w:rsidR="00DB5580">
        <w:rPr>
          <w:rFonts w:ascii="Arial" w:eastAsia="HG Mincho Light J" w:hAnsi="Arial" w:cs="Arial"/>
          <w:color w:val="000000"/>
        </w:rPr>
        <w:t>este Tribunal Regional Federal, da</w:t>
      </w:r>
      <w:r>
        <w:rPr>
          <w:rFonts w:ascii="Arial" w:eastAsia="HG Mincho Light J" w:hAnsi="Arial" w:cs="Arial"/>
          <w:color w:val="000000"/>
        </w:rPr>
        <w:t xml:space="preserve"> Turma Nacional de </w:t>
      </w:r>
      <w:r w:rsidR="00DB5580">
        <w:rPr>
          <w:rFonts w:ascii="Arial" w:eastAsia="HG Mincho Light J" w:hAnsi="Arial" w:cs="Arial"/>
          <w:color w:val="000000"/>
        </w:rPr>
        <w:t>Uniformização da Jurisprudência e, inclusive do STJ,</w:t>
      </w:r>
      <w:r>
        <w:rPr>
          <w:rFonts w:ascii="Arial" w:eastAsia="HG Mincho Light J" w:hAnsi="Arial" w:cs="Arial"/>
          <w:color w:val="000000"/>
        </w:rPr>
        <w:t xml:space="preserve"> </w:t>
      </w:r>
      <w:r w:rsidRPr="00176729">
        <w:rPr>
          <w:rFonts w:ascii="Arial" w:eastAsia="HG Mincho Light J" w:hAnsi="Arial" w:cs="Arial"/>
          <w:color w:val="000000"/>
          <w:u w:val="single"/>
        </w:rPr>
        <w:t>o</w:t>
      </w:r>
      <w:r w:rsidR="000D2E46">
        <w:rPr>
          <w:rFonts w:ascii="Arial" w:eastAsia="HG Mincho Light J" w:hAnsi="Arial" w:cs="Arial"/>
          <w:color w:val="000000"/>
          <w:u w:val="single"/>
        </w:rPr>
        <w:t>s</w:t>
      </w:r>
      <w:r w:rsidRPr="00176729">
        <w:rPr>
          <w:rFonts w:ascii="Arial" w:eastAsia="HG Mincho Light J" w:hAnsi="Arial" w:cs="Arial"/>
          <w:color w:val="000000"/>
          <w:u w:val="single"/>
        </w:rPr>
        <w:t xml:space="preserve"> documento</w:t>
      </w:r>
      <w:r w:rsidR="000D2E46">
        <w:rPr>
          <w:rFonts w:ascii="Arial" w:eastAsia="HG Mincho Light J" w:hAnsi="Arial" w:cs="Arial"/>
          <w:color w:val="000000"/>
          <w:u w:val="single"/>
        </w:rPr>
        <w:t>s</w:t>
      </w:r>
      <w:r w:rsidRPr="00176729">
        <w:rPr>
          <w:rFonts w:ascii="Arial" w:eastAsia="HG Mincho Light J" w:hAnsi="Arial" w:cs="Arial"/>
          <w:color w:val="000000"/>
          <w:u w:val="single"/>
        </w:rPr>
        <w:t xml:space="preserve"> apresentado</w:t>
      </w:r>
      <w:r w:rsidR="000D2E46">
        <w:rPr>
          <w:rFonts w:ascii="Arial" w:eastAsia="HG Mincho Light J" w:hAnsi="Arial" w:cs="Arial"/>
          <w:color w:val="000000"/>
          <w:u w:val="single"/>
        </w:rPr>
        <w:t>s pela parte autora</w:t>
      </w:r>
      <w:r w:rsidRPr="00176729">
        <w:rPr>
          <w:rFonts w:ascii="Arial" w:eastAsia="HG Mincho Light J" w:hAnsi="Arial" w:cs="Arial"/>
          <w:color w:val="000000"/>
          <w:u w:val="single"/>
        </w:rPr>
        <w:t xml:space="preserve"> e reconhecido</w:t>
      </w:r>
      <w:r w:rsidR="000D2E46">
        <w:rPr>
          <w:rFonts w:ascii="Arial" w:eastAsia="HG Mincho Light J" w:hAnsi="Arial" w:cs="Arial"/>
          <w:color w:val="000000"/>
          <w:u w:val="single"/>
        </w:rPr>
        <w:t>s</w:t>
      </w:r>
      <w:r w:rsidRPr="00176729">
        <w:rPr>
          <w:rFonts w:ascii="Arial" w:eastAsia="HG Mincho Light J" w:hAnsi="Arial" w:cs="Arial"/>
          <w:color w:val="000000"/>
          <w:u w:val="single"/>
        </w:rPr>
        <w:t xml:space="preserve"> como </w:t>
      </w:r>
      <w:r w:rsidR="00BB56B8" w:rsidRPr="00176729">
        <w:rPr>
          <w:rFonts w:ascii="Arial" w:eastAsia="HG Mincho Light J" w:hAnsi="Arial" w:cs="Arial"/>
          <w:color w:val="000000"/>
          <w:u w:val="single"/>
        </w:rPr>
        <w:t>início</w:t>
      </w:r>
      <w:r w:rsidRPr="00176729">
        <w:rPr>
          <w:rFonts w:ascii="Arial" w:eastAsia="HG Mincho Light J" w:hAnsi="Arial" w:cs="Arial"/>
          <w:color w:val="000000"/>
          <w:u w:val="single"/>
        </w:rPr>
        <w:t xml:space="preserve"> de prova material fo</w:t>
      </w:r>
      <w:r w:rsidR="000D2E46">
        <w:rPr>
          <w:rFonts w:ascii="Arial" w:eastAsia="HG Mincho Light J" w:hAnsi="Arial" w:cs="Arial"/>
          <w:color w:val="000000"/>
          <w:u w:val="single"/>
        </w:rPr>
        <w:t>ram</w:t>
      </w:r>
      <w:r w:rsidRPr="00176729">
        <w:rPr>
          <w:rFonts w:ascii="Arial" w:eastAsia="HG Mincho Light J" w:hAnsi="Arial" w:cs="Arial"/>
          <w:color w:val="000000"/>
          <w:u w:val="single"/>
        </w:rPr>
        <w:t xml:space="preserve"> tomado</w:t>
      </w:r>
      <w:r w:rsidR="000D2E46">
        <w:rPr>
          <w:rFonts w:ascii="Arial" w:eastAsia="HG Mincho Light J" w:hAnsi="Arial" w:cs="Arial"/>
          <w:color w:val="000000"/>
          <w:u w:val="single"/>
        </w:rPr>
        <w:t>s</w:t>
      </w:r>
      <w:r w:rsidRPr="00176729">
        <w:rPr>
          <w:rFonts w:ascii="Arial" w:eastAsia="HG Mincho Light J" w:hAnsi="Arial" w:cs="Arial"/>
          <w:color w:val="000000"/>
          <w:u w:val="single"/>
        </w:rPr>
        <w:t xml:space="preserve"> como insuficiente para comprovar a atividade rurícola pelo período de carência</w:t>
      </w:r>
      <w:r>
        <w:rPr>
          <w:rFonts w:ascii="Arial" w:eastAsia="HG Mincho Light J" w:hAnsi="Arial" w:cs="Arial"/>
          <w:color w:val="000000"/>
        </w:rPr>
        <w:t xml:space="preserve">, </w:t>
      </w:r>
      <w:r w:rsidRPr="008B672A">
        <w:rPr>
          <w:rFonts w:ascii="Arial" w:eastAsia="HG Mincho Light J" w:hAnsi="Arial" w:cs="Arial"/>
          <w:b/>
          <w:color w:val="000000"/>
        </w:rPr>
        <w:t>embora a lei apenas exija RAZOÁVEL início de prova material</w:t>
      </w:r>
      <w:r>
        <w:rPr>
          <w:rFonts w:ascii="Arial" w:eastAsia="HG Mincho Light J" w:hAnsi="Arial" w:cs="Arial"/>
          <w:color w:val="000000"/>
        </w:rPr>
        <w:t xml:space="preserve">, tal como não seja necessária prova material correspondente a todo o período a ser comprovado.  </w:t>
      </w:r>
    </w:p>
    <w:p w:rsidR="004B50A3" w:rsidRPr="00267193" w:rsidRDefault="004B50A3" w:rsidP="006A3B47">
      <w:pPr>
        <w:tabs>
          <w:tab w:val="left" w:pos="720"/>
        </w:tabs>
        <w:ind w:firstLine="1134"/>
        <w:jc w:val="both"/>
        <w:rPr>
          <w:rFonts w:ascii="Arial" w:eastAsia="HG Mincho Light J" w:hAnsi="Arial" w:cs="Arial"/>
          <w:b/>
          <w:color w:val="000000"/>
        </w:rPr>
      </w:pPr>
      <w:r>
        <w:rPr>
          <w:rFonts w:ascii="Arial" w:eastAsia="HG Mincho Light J" w:hAnsi="Arial" w:cs="Arial"/>
          <w:color w:val="000000"/>
        </w:rPr>
        <w:t xml:space="preserve">Os demais documentos não foram admitidos sob o argumento de que não </w:t>
      </w:r>
      <w:r w:rsidR="00DB5580">
        <w:rPr>
          <w:rFonts w:ascii="Arial" w:eastAsia="HG Mincho Light J" w:hAnsi="Arial" w:cs="Arial"/>
          <w:color w:val="000000"/>
        </w:rPr>
        <w:t>eram</w:t>
      </w:r>
      <w:r>
        <w:rPr>
          <w:rFonts w:ascii="Arial" w:eastAsia="HG Mincho Light J" w:hAnsi="Arial" w:cs="Arial"/>
          <w:color w:val="000000"/>
        </w:rPr>
        <w:t xml:space="preserve"> contemporâneas à carência exigida, </w:t>
      </w:r>
      <w:r w:rsidR="00DE795C">
        <w:rPr>
          <w:rFonts w:ascii="Arial" w:eastAsia="HG Mincho Light J" w:hAnsi="Arial" w:cs="Arial"/>
          <w:b/>
          <w:color w:val="000000"/>
        </w:rPr>
        <w:t>embora este Tribunal Regional Federal da Primeira Região, a</w:t>
      </w:r>
      <w:r w:rsidRPr="00267193">
        <w:rPr>
          <w:rFonts w:ascii="Arial" w:eastAsia="HG Mincho Light J" w:hAnsi="Arial" w:cs="Arial"/>
          <w:b/>
          <w:color w:val="000000"/>
        </w:rPr>
        <w:t xml:space="preserve"> TNU</w:t>
      </w:r>
      <w:r w:rsidR="00DE795C">
        <w:rPr>
          <w:rFonts w:ascii="Arial" w:eastAsia="HG Mincho Light J" w:hAnsi="Arial" w:cs="Arial"/>
          <w:b/>
          <w:color w:val="000000"/>
        </w:rPr>
        <w:t xml:space="preserve"> e o STJ</w:t>
      </w:r>
      <w:r w:rsidRPr="00267193">
        <w:rPr>
          <w:rFonts w:ascii="Arial" w:eastAsia="HG Mincho Light J" w:hAnsi="Arial" w:cs="Arial"/>
          <w:b/>
          <w:color w:val="000000"/>
        </w:rPr>
        <w:t xml:space="preserve"> já tenha</w:t>
      </w:r>
      <w:r w:rsidR="00DE795C">
        <w:rPr>
          <w:rFonts w:ascii="Arial" w:eastAsia="HG Mincho Light J" w:hAnsi="Arial" w:cs="Arial"/>
          <w:b/>
          <w:color w:val="000000"/>
        </w:rPr>
        <w:t xml:space="preserve">m pacificado a tese da </w:t>
      </w:r>
      <w:r w:rsidR="00DE795C" w:rsidRPr="00DE795C">
        <w:rPr>
          <w:rFonts w:ascii="Arial" w:eastAsia="HG Mincho Light J" w:hAnsi="Arial" w:cs="Arial"/>
          <w:b/>
          <w:i/>
          <w:color w:val="000000"/>
        </w:rPr>
        <w:t>“extensão</w:t>
      </w:r>
      <w:r w:rsidRPr="00DE795C">
        <w:rPr>
          <w:rFonts w:ascii="Arial" w:eastAsia="HG Mincho Light J" w:hAnsi="Arial" w:cs="Arial"/>
          <w:b/>
          <w:i/>
          <w:color w:val="000000"/>
        </w:rPr>
        <w:t xml:space="preserve"> temporal dos efeitos da prova material quando corroborados pela prova testemunhal</w:t>
      </w:r>
      <w:r w:rsidRPr="00267193">
        <w:rPr>
          <w:rFonts w:ascii="Arial" w:eastAsia="HG Mincho Light J" w:hAnsi="Arial" w:cs="Arial"/>
          <w:b/>
          <w:color w:val="000000"/>
        </w:rPr>
        <w:t xml:space="preserve">. </w:t>
      </w:r>
      <w:r w:rsidR="00DE795C">
        <w:rPr>
          <w:rFonts w:ascii="Arial" w:eastAsia="HG Mincho Light J" w:hAnsi="Arial" w:cs="Arial"/>
          <w:b/>
          <w:color w:val="000000"/>
        </w:rPr>
        <w:t>“</w:t>
      </w:r>
    </w:p>
    <w:p w:rsidR="004B50A3" w:rsidRDefault="004B50A3" w:rsidP="006A3B47">
      <w:pPr>
        <w:tabs>
          <w:tab w:val="left" w:pos="720"/>
        </w:tabs>
        <w:ind w:firstLine="1134"/>
        <w:jc w:val="both"/>
        <w:rPr>
          <w:rFonts w:ascii="Arial" w:eastAsia="HG Mincho Light J" w:hAnsi="Arial" w:cs="Arial"/>
          <w:b/>
          <w:color w:val="000000"/>
        </w:rPr>
      </w:pPr>
      <w:r>
        <w:rPr>
          <w:rFonts w:ascii="Arial" w:eastAsia="HG Mincho Light J" w:hAnsi="Arial" w:cs="Arial"/>
          <w:color w:val="000000"/>
        </w:rPr>
        <w:t>A</w:t>
      </w:r>
      <w:r w:rsidRPr="00D32165">
        <w:rPr>
          <w:rFonts w:ascii="Arial" w:eastAsia="HG Mincho Light J" w:hAnsi="Arial" w:cs="Arial"/>
          <w:b/>
          <w:color w:val="000000"/>
        </w:rPr>
        <w:t xml:space="preserve"> Turma Recursal da Seção Judiciária de Juiz de Fora, contrariando a pacificação dos temas</w:t>
      </w:r>
      <w:r>
        <w:rPr>
          <w:rFonts w:ascii="Arial" w:eastAsia="HG Mincho Light J" w:hAnsi="Arial" w:cs="Arial"/>
          <w:color w:val="000000"/>
        </w:rPr>
        <w:t xml:space="preserve"> </w:t>
      </w:r>
      <w:r w:rsidR="00034111">
        <w:rPr>
          <w:rFonts w:ascii="Arial" w:eastAsia="HG Mincho Light J" w:hAnsi="Arial" w:cs="Arial"/>
          <w:color w:val="000000"/>
        </w:rPr>
        <w:t>por este TRF1, TNU e STJ,</w:t>
      </w:r>
      <w:r>
        <w:rPr>
          <w:rFonts w:ascii="Arial" w:eastAsia="HG Mincho Light J" w:hAnsi="Arial" w:cs="Arial"/>
          <w:color w:val="000000"/>
        </w:rPr>
        <w:t xml:space="preserve"> negou </w:t>
      </w:r>
      <w:r w:rsidR="00034111">
        <w:rPr>
          <w:rFonts w:ascii="Arial" w:eastAsia="HG Mincho Light J" w:hAnsi="Arial" w:cs="Arial"/>
          <w:color w:val="000000"/>
        </w:rPr>
        <w:t>seguimento</w:t>
      </w:r>
      <w:r>
        <w:rPr>
          <w:rFonts w:ascii="Arial" w:eastAsia="HG Mincho Light J" w:hAnsi="Arial" w:cs="Arial"/>
          <w:color w:val="000000"/>
        </w:rPr>
        <w:t xml:space="preserve"> ao recurso, </w:t>
      </w:r>
      <w:r w:rsidRPr="00D32165">
        <w:rPr>
          <w:rFonts w:ascii="Arial" w:eastAsia="HG Mincho Light J" w:hAnsi="Arial" w:cs="Arial"/>
          <w:b/>
          <w:color w:val="000000"/>
        </w:rPr>
        <w:t xml:space="preserve">entendendo que os documentos trazidos pela autora, pelas razões expostas não se prestavam </w:t>
      </w:r>
      <w:r>
        <w:rPr>
          <w:rFonts w:ascii="Arial" w:eastAsia="HG Mincho Light J" w:hAnsi="Arial" w:cs="Arial"/>
          <w:b/>
          <w:color w:val="000000"/>
        </w:rPr>
        <w:t>como indício de prova material.</w:t>
      </w:r>
      <w:r w:rsidR="00446E11">
        <w:rPr>
          <w:rFonts w:ascii="Arial" w:eastAsia="HG Mincho Light J" w:hAnsi="Arial" w:cs="Arial"/>
          <w:b/>
          <w:color w:val="000000"/>
        </w:rPr>
        <w:t xml:space="preserve"> </w:t>
      </w:r>
    </w:p>
    <w:p w:rsidR="00F83FF3" w:rsidRDefault="00F83FF3" w:rsidP="006A3B47">
      <w:pPr>
        <w:tabs>
          <w:tab w:val="left" w:pos="720"/>
        </w:tabs>
        <w:ind w:firstLine="1134"/>
        <w:jc w:val="both"/>
        <w:rPr>
          <w:rFonts w:ascii="Arial" w:eastAsia="HG Mincho Light J" w:hAnsi="Arial" w:cs="Arial"/>
          <w:color w:val="000000"/>
        </w:rPr>
      </w:pPr>
      <w:r w:rsidRPr="00BF1893">
        <w:rPr>
          <w:rFonts w:ascii="Arial" w:eastAsia="HG Mincho Light J" w:hAnsi="Arial" w:cs="Arial"/>
          <w:color w:val="000000"/>
        </w:rPr>
        <w:t xml:space="preserve">A </w:t>
      </w:r>
      <w:proofErr w:type="gramStart"/>
      <w:r w:rsidRPr="00BF1893">
        <w:rPr>
          <w:rFonts w:ascii="Arial" w:eastAsia="HG Mincho Light J" w:hAnsi="Arial" w:cs="Arial"/>
          <w:color w:val="000000"/>
        </w:rPr>
        <w:t>douta</w:t>
      </w:r>
      <w:r w:rsidR="00BB56B8">
        <w:rPr>
          <w:rFonts w:ascii="Arial" w:eastAsia="HG Mincho Light J" w:hAnsi="Arial" w:cs="Arial"/>
          <w:color w:val="000000"/>
        </w:rPr>
        <w:t xml:space="preserve"> </w:t>
      </w:r>
      <w:r w:rsidRPr="00BF1893">
        <w:rPr>
          <w:rFonts w:ascii="Arial" w:eastAsia="HG Mincho Light J" w:hAnsi="Arial" w:cs="Arial"/>
          <w:color w:val="000000"/>
        </w:rPr>
        <w:t xml:space="preserve"> turma</w:t>
      </w:r>
      <w:proofErr w:type="gramEnd"/>
      <w:r w:rsidRPr="00BF1893">
        <w:rPr>
          <w:rFonts w:ascii="Arial" w:eastAsia="HG Mincho Light J" w:hAnsi="Arial" w:cs="Arial"/>
          <w:color w:val="000000"/>
        </w:rPr>
        <w:t xml:space="preserve"> recursal,</w:t>
      </w:r>
      <w:r>
        <w:rPr>
          <w:rFonts w:ascii="Arial" w:eastAsia="HG Mincho Light J" w:hAnsi="Arial" w:cs="Arial"/>
          <w:color w:val="000000"/>
        </w:rPr>
        <w:t xml:space="preserve"> embora o juízo </w:t>
      </w:r>
      <w:r w:rsidRPr="00A266CF">
        <w:rPr>
          <w:rFonts w:ascii="Arial" w:eastAsia="HG Mincho Light J" w:hAnsi="Arial" w:cs="Arial"/>
          <w:i/>
          <w:color w:val="000000"/>
        </w:rPr>
        <w:t>a quo</w:t>
      </w:r>
      <w:r>
        <w:rPr>
          <w:rFonts w:ascii="Arial" w:eastAsia="HG Mincho Light J" w:hAnsi="Arial" w:cs="Arial"/>
          <w:color w:val="000000"/>
        </w:rPr>
        <w:t xml:space="preserve"> já tivesse reconhecido como início de prova material a certidão de registro de imóvel rural, </w:t>
      </w:r>
      <w:r w:rsidR="00BF1893">
        <w:rPr>
          <w:rFonts w:ascii="Arial" w:eastAsia="HG Mincho Light J" w:hAnsi="Arial" w:cs="Arial"/>
          <w:b/>
          <w:color w:val="000000"/>
        </w:rPr>
        <w:t>alegou, na sua decisão de inadmissibilidade do Recurso Inominado interposto</w:t>
      </w:r>
      <w:r w:rsidRPr="00D32165">
        <w:rPr>
          <w:rFonts w:ascii="Arial" w:eastAsia="HG Mincho Light J" w:hAnsi="Arial" w:cs="Arial"/>
          <w:b/>
          <w:color w:val="000000"/>
        </w:rPr>
        <w:t>,</w:t>
      </w:r>
      <w:r>
        <w:rPr>
          <w:rFonts w:ascii="Arial" w:eastAsia="HG Mincho Light J" w:hAnsi="Arial" w:cs="Arial"/>
          <w:color w:val="000000"/>
        </w:rPr>
        <w:t xml:space="preserve"> </w:t>
      </w:r>
      <w:r w:rsidRPr="00BB56B8">
        <w:rPr>
          <w:rFonts w:ascii="Arial" w:eastAsia="HG Mincho Light J" w:hAnsi="Arial" w:cs="Arial"/>
          <w:b/>
          <w:color w:val="000000"/>
        </w:rPr>
        <w:t>que</w:t>
      </w:r>
      <w:r w:rsidR="00BF1893" w:rsidRPr="00BB56B8">
        <w:rPr>
          <w:rFonts w:ascii="Arial" w:eastAsia="HG Mincho Light J" w:hAnsi="Arial" w:cs="Arial"/>
          <w:b/>
          <w:color w:val="000000"/>
        </w:rPr>
        <w:t xml:space="preserve"> a</w:t>
      </w:r>
      <w:r w:rsidRPr="00BB56B8">
        <w:rPr>
          <w:rFonts w:ascii="Arial" w:eastAsia="HG Mincho Light J" w:hAnsi="Arial" w:cs="Arial"/>
          <w:b/>
          <w:color w:val="000000"/>
        </w:rPr>
        <w:t xml:space="preserve"> sua decisão se fundamenta</w:t>
      </w:r>
      <w:r w:rsidR="00BF1893" w:rsidRPr="00BB56B8">
        <w:rPr>
          <w:rFonts w:ascii="Arial" w:eastAsia="HG Mincho Light J" w:hAnsi="Arial" w:cs="Arial"/>
          <w:b/>
          <w:color w:val="000000"/>
        </w:rPr>
        <w:t>va</w:t>
      </w:r>
      <w:r w:rsidRPr="00BB56B8">
        <w:rPr>
          <w:rFonts w:ascii="Arial" w:eastAsia="HG Mincho Light J" w:hAnsi="Arial" w:cs="Arial"/>
          <w:b/>
          <w:color w:val="000000"/>
        </w:rPr>
        <w:t xml:space="preserve"> na súmula nº. 149 do STJ</w:t>
      </w:r>
      <w:r w:rsidR="00BF1893">
        <w:rPr>
          <w:rFonts w:ascii="Arial" w:eastAsia="HG Mincho Light J" w:hAnsi="Arial" w:cs="Arial"/>
          <w:color w:val="000000"/>
        </w:rPr>
        <w:t xml:space="preserve"> (que não admite prova exclusivamente testemunhal)</w:t>
      </w:r>
      <w:r>
        <w:rPr>
          <w:rFonts w:ascii="Arial" w:eastAsia="HG Mincho Light J" w:hAnsi="Arial" w:cs="Arial"/>
          <w:color w:val="000000"/>
        </w:rPr>
        <w:t xml:space="preserve"> para negar p</w:t>
      </w:r>
      <w:r w:rsidR="00FD5389">
        <w:rPr>
          <w:rFonts w:ascii="Arial" w:eastAsia="HG Mincho Light J" w:hAnsi="Arial" w:cs="Arial"/>
          <w:color w:val="000000"/>
        </w:rPr>
        <w:t>rovimento ao agravo regimental interposto.</w:t>
      </w:r>
    </w:p>
    <w:p w:rsidR="008B3632" w:rsidRDefault="00FD5389" w:rsidP="006A3B47">
      <w:pPr>
        <w:tabs>
          <w:tab w:val="left" w:pos="720"/>
        </w:tabs>
        <w:ind w:firstLine="1134"/>
        <w:jc w:val="both"/>
        <w:rPr>
          <w:rFonts w:ascii="Arial" w:eastAsia="HG Mincho Light J" w:hAnsi="Arial" w:cs="Arial"/>
          <w:color w:val="000000"/>
        </w:rPr>
      </w:pPr>
      <w:r>
        <w:rPr>
          <w:rFonts w:ascii="Arial" w:eastAsia="HG Mincho Light J" w:hAnsi="Arial" w:cs="Arial"/>
          <w:color w:val="000000"/>
        </w:rPr>
        <w:t xml:space="preserve">Em seguida, interposto o </w:t>
      </w:r>
      <w:r w:rsidR="00B95BE9">
        <w:rPr>
          <w:rFonts w:ascii="Arial" w:eastAsia="HG Mincho Light J" w:hAnsi="Arial" w:cs="Arial"/>
          <w:color w:val="000000"/>
        </w:rPr>
        <w:t>Incidente de Uniformização da Jurisprudência, a Turma Recursal de Juiz de Fora o inadmitiu, mas desta vez n</w:t>
      </w:r>
      <w:r w:rsidR="008B3632">
        <w:rPr>
          <w:rFonts w:ascii="Arial" w:eastAsia="HG Mincho Light J" w:hAnsi="Arial" w:cs="Arial"/>
          <w:color w:val="000000"/>
        </w:rPr>
        <w:t xml:space="preserve">ão mais sob a fundamentação da súmula 149 do STJ, e </w:t>
      </w:r>
      <w:r w:rsidR="00B352D6">
        <w:rPr>
          <w:rFonts w:ascii="Arial" w:eastAsia="HG Mincho Light J" w:hAnsi="Arial" w:cs="Arial"/>
          <w:color w:val="000000"/>
        </w:rPr>
        <w:t>sim sustentando</w:t>
      </w:r>
      <w:r w:rsidR="008B3632">
        <w:rPr>
          <w:rFonts w:ascii="Arial" w:eastAsia="HG Mincho Light J" w:hAnsi="Arial" w:cs="Arial"/>
          <w:color w:val="000000"/>
        </w:rPr>
        <w:t xml:space="preserve"> </w:t>
      </w:r>
      <w:r w:rsidR="00B352D6">
        <w:rPr>
          <w:rFonts w:ascii="Arial" w:eastAsia="HG Mincho Light J" w:hAnsi="Arial" w:cs="Arial"/>
          <w:color w:val="000000"/>
        </w:rPr>
        <w:t>a incidência</w:t>
      </w:r>
      <w:r w:rsidR="008B3632">
        <w:rPr>
          <w:rFonts w:ascii="Arial" w:eastAsia="HG Mincho Light J" w:hAnsi="Arial" w:cs="Arial"/>
          <w:color w:val="000000"/>
        </w:rPr>
        <w:t xml:space="preserve"> da Sumula 42 da TNU.</w:t>
      </w:r>
    </w:p>
    <w:p w:rsidR="005C0067" w:rsidRPr="00EF3A83" w:rsidRDefault="008B3632" w:rsidP="006A3B47">
      <w:pPr>
        <w:tabs>
          <w:tab w:val="left" w:pos="720"/>
        </w:tabs>
        <w:ind w:firstLine="1134"/>
        <w:jc w:val="both"/>
        <w:rPr>
          <w:rFonts w:ascii="Arial" w:hAnsi="Arial" w:cs="Arial"/>
          <w:b/>
          <w:i/>
        </w:rPr>
      </w:pPr>
      <w:r w:rsidRPr="00EF3A83">
        <w:rPr>
          <w:rFonts w:ascii="Arial" w:hAnsi="Arial" w:cs="Arial"/>
          <w:b/>
        </w:rPr>
        <w:t>Outra grande teratologia invocar o conteúdo da sumula 42 da TNU</w:t>
      </w:r>
      <w:r w:rsidR="005C0067">
        <w:rPr>
          <w:rFonts w:ascii="Arial" w:hAnsi="Arial" w:cs="Arial"/>
        </w:rPr>
        <w:t xml:space="preserve"> </w:t>
      </w:r>
      <w:r w:rsidR="000E31C0">
        <w:rPr>
          <w:rFonts w:ascii="Arial" w:hAnsi="Arial" w:cs="Arial"/>
        </w:rPr>
        <w:t>(</w:t>
      </w:r>
      <w:r w:rsidR="005C0067">
        <w:rPr>
          <w:rFonts w:ascii="Arial" w:hAnsi="Arial" w:cs="Arial"/>
        </w:rPr>
        <w:t>“</w:t>
      </w:r>
      <w:r w:rsidR="000E31C0" w:rsidRPr="005C0067">
        <w:rPr>
          <w:rFonts w:ascii="Arial" w:hAnsi="Arial" w:cs="Arial"/>
          <w:i/>
          <w:color w:val="212529"/>
          <w:sz w:val="22"/>
          <w:szCs w:val="22"/>
          <w:shd w:val="clear" w:color="auto" w:fill="FFFFFF"/>
        </w:rPr>
        <w:t>Não se conhece de incidente de uniformização que implique reexame de matéria de fato</w:t>
      </w:r>
      <w:r w:rsidR="005C0067">
        <w:rPr>
          <w:rFonts w:ascii="Arial" w:hAnsi="Arial" w:cs="Arial"/>
          <w:i/>
          <w:color w:val="212529"/>
          <w:sz w:val="22"/>
          <w:szCs w:val="22"/>
          <w:shd w:val="clear" w:color="auto" w:fill="FFFFFF"/>
        </w:rPr>
        <w:t>”</w:t>
      </w:r>
      <w:proofErr w:type="gramStart"/>
      <w:r w:rsidR="000E31C0">
        <w:rPr>
          <w:rFonts w:ascii="Segoe UI" w:hAnsi="Segoe UI" w:cs="Segoe UI"/>
          <w:color w:val="212529"/>
          <w:shd w:val="clear" w:color="auto" w:fill="FFFFFF"/>
        </w:rPr>
        <w:t xml:space="preserve">) </w:t>
      </w:r>
      <w:r>
        <w:rPr>
          <w:rFonts w:ascii="Arial" w:hAnsi="Arial" w:cs="Arial"/>
        </w:rPr>
        <w:t>,</w:t>
      </w:r>
      <w:proofErr w:type="gramEnd"/>
      <w:r>
        <w:rPr>
          <w:rFonts w:ascii="Arial" w:hAnsi="Arial" w:cs="Arial"/>
        </w:rPr>
        <w:t xml:space="preserve"> </w:t>
      </w:r>
      <w:r w:rsidR="005C0067" w:rsidRPr="00EF3A83">
        <w:rPr>
          <w:rFonts w:ascii="Arial" w:hAnsi="Arial" w:cs="Arial"/>
          <w:b/>
        </w:rPr>
        <w:t>já que, como acima descrito, a Turma Recursal de Juiz de Fora</w:t>
      </w:r>
      <w:r w:rsidRPr="00EF3A83">
        <w:rPr>
          <w:rFonts w:ascii="Arial" w:hAnsi="Arial" w:cs="Arial"/>
          <w:b/>
        </w:rPr>
        <w:t xml:space="preserve"> não cumpr</w:t>
      </w:r>
      <w:r w:rsidR="005C0067" w:rsidRPr="00EF3A83">
        <w:rPr>
          <w:rFonts w:ascii="Arial" w:hAnsi="Arial" w:cs="Arial"/>
          <w:b/>
        </w:rPr>
        <w:t>iu</w:t>
      </w:r>
      <w:r w:rsidRPr="00EF3A83">
        <w:rPr>
          <w:rFonts w:ascii="Arial" w:hAnsi="Arial" w:cs="Arial"/>
          <w:b/>
        </w:rPr>
        <w:t xml:space="preserve"> o seu papel de fazer justamente aquilo que é vedado </w:t>
      </w:r>
      <w:r w:rsidR="006F03F0" w:rsidRPr="00EF3A83">
        <w:rPr>
          <w:rFonts w:ascii="Arial" w:hAnsi="Arial" w:cs="Arial"/>
          <w:b/>
        </w:rPr>
        <w:t xml:space="preserve">no Incidente </w:t>
      </w:r>
      <w:r w:rsidRPr="00EF3A83">
        <w:rPr>
          <w:rFonts w:ascii="Arial" w:hAnsi="Arial" w:cs="Arial"/>
          <w:b/>
        </w:rPr>
        <w:t xml:space="preserve">à TNU: </w:t>
      </w:r>
      <w:r w:rsidRPr="00EF3A83">
        <w:rPr>
          <w:rFonts w:ascii="Arial" w:hAnsi="Arial" w:cs="Arial"/>
          <w:b/>
          <w:i/>
        </w:rPr>
        <w:t xml:space="preserve">“ Fazer a </w:t>
      </w:r>
      <w:r w:rsidR="005C0067" w:rsidRPr="00EF3A83">
        <w:rPr>
          <w:rFonts w:ascii="Arial" w:hAnsi="Arial" w:cs="Arial"/>
          <w:b/>
          <w:i/>
        </w:rPr>
        <w:t>incursão no acervo probatório”.</w:t>
      </w:r>
    </w:p>
    <w:p w:rsidR="008B3632" w:rsidRPr="00662836" w:rsidRDefault="008B3632" w:rsidP="006A3B47">
      <w:pPr>
        <w:tabs>
          <w:tab w:val="left" w:pos="720"/>
        </w:tabs>
        <w:ind w:firstLine="1134"/>
        <w:jc w:val="both"/>
        <w:rPr>
          <w:rFonts w:ascii="Arial" w:eastAsia="HG Mincho Light J" w:hAnsi="Arial" w:cs="Arial"/>
          <w:color w:val="000000"/>
        </w:rPr>
      </w:pPr>
      <w:r>
        <w:rPr>
          <w:rFonts w:ascii="Arial" w:hAnsi="Arial" w:cs="Arial"/>
        </w:rPr>
        <w:lastRenderedPageBreak/>
        <w:t xml:space="preserve">Se </w:t>
      </w:r>
      <w:r w:rsidR="005C0067">
        <w:rPr>
          <w:rFonts w:ascii="Arial" w:hAnsi="Arial" w:cs="Arial"/>
        </w:rPr>
        <w:t>a T</w:t>
      </w:r>
      <w:r w:rsidR="00C64D89">
        <w:rPr>
          <w:rFonts w:ascii="Arial" w:hAnsi="Arial" w:cs="Arial"/>
        </w:rPr>
        <w:t xml:space="preserve">urma </w:t>
      </w:r>
      <w:r w:rsidR="005C0067">
        <w:rPr>
          <w:rFonts w:ascii="Arial" w:hAnsi="Arial" w:cs="Arial"/>
        </w:rPr>
        <w:t>R</w:t>
      </w:r>
      <w:r w:rsidR="00C64D89">
        <w:rPr>
          <w:rFonts w:ascii="Arial" w:hAnsi="Arial" w:cs="Arial"/>
        </w:rPr>
        <w:t xml:space="preserve">ecursal de </w:t>
      </w:r>
      <w:r w:rsidR="00AF4FD8">
        <w:rPr>
          <w:rFonts w:ascii="Arial" w:hAnsi="Arial" w:cs="Arial"/>
        </w:rPr>
        <w:t>XXXXXX</w:t>
      </w:r>
      <w:r>
        <w:rPr>
          <w:rFonts w:ascii="Arial" w:hAnsi="Arial" w:cs="Arial"/>
        </w:rPr>
        <w:t xml:space="preserve"> </w:t>
      </w:r>
      <w:r w:rsidR="005C0067">
        <w:rPr>
          <w:rFonts w:ascii="Arial" w:hAnsi="Arial" w:cs="Arial"/>
        </w:rPr>
        <w:t xml:space="preserve">tivesse, ao </w:t>
      </w:r>
      <w:r w:rsidR="00D546FE">
        <w:rPr>
          <w:rFonts w:ascii="Arial" w:hAnsi="Arial" w:cs="Arial"/>
        </w:rPr>
        <w:t>menos, analisado</w:t>
      </w:r>
      <w:r>
        <w:rPr>
          <w:rFonts w:ascii="Arial" w:hAnsi="Arial" w:cs="Arial"/>
        </w:rPr>
        <w:t xml:space="preserve"> o Recurso inominado proposto, admitindo-o, valorando ou desvalorando as provas trazidas aos autos </w:t>
      </w:r>
      <w:r w:rsidR="00D546FE">
        <w:rPr>
          <w:rFonts w:ascii="Arial" w:hAnsi="Arial" w:cs="Arial"/>
        </w:rPr>
        <w:t>(objeto</w:t>
      </w:r>
      <w:r>
        <w:rPr>
          <w:rFonts w:ascii="Arial" w:hAnsi="Arial" w:cs="Arial"/>
        </w:rPr>
        <w:t xml:space="preserve"> do recurso); </w:t>
      </w:r>
      <w:r w:rsidRPr="00A37CC4">
        <w:rPr>
          <w:rFonts w:ascii="Arial" w:hAnsi="Arial" w:cs="Arial"/>
          <w:b/>
        </w:rPr>
        <w:t xml:space="preserve">fundamentando o porquê não as acolheu ou por que as considerou eventualmente inidôneas, </w:t>
      </w:r>
      <w:r w:rsidR="00C64D89">
        <w:rPr>
          <w:rFonts w:ascii="Arial" w:hAnsi="Arial" w:cs="Arial"/>
          <w:b/>
        </w:rPr>
        <w:t xml:space="preserve">ao invés de aplicar, inadvertidamente, a sumula 149 do STJ para inadmiti-lo sumariamente, com uma decisão de dois parágrafos, </w:t>
      </w:r>
      <w:r w:rsidR="00D546FE">
        <w:rPr>
          <w:rFonts w:ascii="Arial" w:hAnsi="Arial" w:cs="Arial"/>
        </w:rPr>
        <w:t>este Incidente de Resolução de demandas repetitivas poderia ser evitado</w:t>
      </w:r>
      <w:r w:rsidRPr="00A37CC4">
        <w:rPr>
          <w:rFonts w:ascii="Arial" w:hAnsi="Arial" w:cs="Arial"/>
          <w:b/>
        </w:rPr>
        <w:t xml:space="preserve">. </w:t>
      </w:r>
      <w:r w:rsidR="00C64D89">
        <w:rPr>
          <w:rFonts w:ascii="Arial" w:hAnsi="Arial" w:cs="Arial"/>
        </w:rPr>
        <w:t>(Há</w:t>
      </w:r>
      <w:r w:rsidR="00662836">
        <w:rPr>
          <w:rFonts w:ascii="Arial" w:hAnsi="Arial" w:cs="Arial"/>
        </w:rPr>
        <w:t xml:space="preserve"> um sem números de processos na mesma situação na Turma Recursal de </w:t>
      </w:r>
      <w:r w:rsidR="00AF4FD8">
        <w:rPr>
          <w:rFonts w:ascii="Arial" w:hAnsi="Arial" w:cs="Arial"/>
        </w:rPr>
        <w:t>XXXXXX</w:t>
      </w:r>
      <w:r w:rsidR="00662836">
        <w:rPr>
          <w:rFonts w:ascii="Arial" w:hAnsi="Arial" w:cs="Arial"/>
        </w:rPr>
        <w:t xml:space="preserve"> que, provavelmente, alcança as metas de produtividade, mas deixa um rastro, outrossim, de muita injustiça).</w:t>
      </w:r>
    </w:p>
    <w:p w:rsidR="008B3632" w:rsidRPr="006E1BAA" w:rsidRDefault="008B3632" w:rsidP="006A3B47">
      <w:pPr>
        <w:ind w:firstLine="1134"/>
        <w:jc w:val="both"/>
        <w:rPr>
          <w:rFonts w:ascii="Arial" w:hAnsi="Arial" w:cs="Arial"/>
          <w:b/>
        </w:rPr>
      </w:pPr>
      <w:r w:rsidRPr="006E1BAA">
        <w:rPr>
          <w:rFonts w:ascii="Arial" w:hAnsi="Arial" w:cs="Arial"/>
          <w:b/>
        </w:rPr>
        <w:t>Nos termos do art. 489, V, do NCPC</w:t>
      </w:r>
      <w:r w:rsidRPr="006E1BAA">
        <w:rPr>
          <w:rFonts w:ascii="Arial" w:hAnsi="Arial" w:cs="Arial"/>
        </w:rPr>
        <w:t xml:space="preserve">, </w:t>
      </w:r>
      <w:r w:rsidRPr="006E1BAA">
        <w:rPr>
          <w:rFonts w:ascii="Arial" w:hAnsi="Arial" w:cs="Arial"/>
          <w:b/>
        </w:rPr>
        <w:t xml:space="preserve">o juiz não pode se se limitar a invocar precedente ou enunciado de súmula, sem identificar seus fundamentos determinantes nem demonstrar que o caso sob julgamento se ajusta àqueles fundamentos. </w:t>
      </w:r>
    </w:p>
    <w:p w:rsidR="008B3632" w:rsidRPr="006E1BAA" w:rsidRDefault="008B3632" w:rsidP="006A3B47">
      <w:pPr>
        <w:ind w:firstLine="1134"/>
        <w:jc w:val="both"/>
        <w:rPr>
          <w:rFonts w:ascii="Arial" w:hAnsi="Arial" w:cs="Arial"/>
        </w:rPr>
      </w:pPr>
      <w:r w:rsidRPr="006E1BAA">
        <w:rPr>
          <w:rFonts w:ascii="Arial" w:hAnsi="Arial" w:cs="Arial"/>
        </w:rPr>
        <w:t xml:space="preserve">Por conseguinte, </w:t>
      </w:r>
      <w:r w:rsidRPr="006E1BAA">
        <w:rPr>
          <w:rFonts w:ascii="Arial" w:hAnsi="Arial" w:cs="Arial"/>
          <w:b/>
        </w:rPr>
        <w:t>ao aplicar a</w:t>
      </w:r>
      <w:r w:rsidR="000B5C0F" w:rsidRPr="006E1BAA">
        <w:rPr>
          <w:rFonts w:ascii="Arial" w:hAnsi="Arial" w:cs="Arial"/>
          <w:b/>
        </w:rPr>
        <w:t xml:space="preserve"> Sumula 149 do STJ e a</w:t>
      </w:r>
      <w:r w:rsidRPr="006E1BAA">
        <w:rPr>
          <w:rFonts w:ascii="Arial" w:hAnsi="Arial" w:cs="Arial"/>
          <w:b/>
        </w:rPr>
        <w:t xml:space="preserve"> Sumula 42 da TNU, </w:t>
      </w:r>
      <w:r w:rsidR="000B5C0F" w:rsidRPr="00C43088">
        <w:rPr>
          <w:rFonts w:ascii="Arial" w:hAnsi="Arial" w:cs="Arial"/>
          <w:b/>
        </w:rPr>
        <w:t>a</w:t>
      </w:r>
      <w:r w:rsidRPr="00C43088">
        <w:rPr>
          <w:rFonts w:ascii="Arial" w:hAnsi="Arial" w:cs="Arial"/>
          <w:b/>
        </w:rPr>
        <w:t xml:space="preserve"> Turma </w:t>
      </w:r>
      <w:r w:rsidR="000B5C0F" w:rsidRPr="00C43088">
        <w:rPr>
          <w:rFonts w:ascii="Arial" w:hAnsi="Arial" w:cs="Arial"/>
          <w:b/>
        </w:rPr>
        <w:t xml:space="preserve">Recursal teria </w:t>
      </w:r>
      <w:r w:rsidRPr="00C43088">
        <w:rPr>
          <w:rFonts w:ascii="Arial" w:hAnsi="Arial" w:cs="Arial"/>
          <w:b/>
        </w:rPr>
        <w:t>que explicar como se poderia, deixando de cumprir o seu papel analisar as provas e os fundamentos do recurso inominado interposto</w:t>
      </w:r>
      <w:r w:rsidRPr="006E1BAA">
        <w:rPr>
          <w:rFonts w:ascii="Arial" w:hAnsi="Arial" w:cs="Arial"/>
        </w:rPr>
        <w:t xml:space="preserve"> (não há qualquer decisão recursal que tenha analisado e respondido aos argumentos do recurso inominado interposto, bem como valorando ou deixando de valorar as provas apresentadas), </w:t>
      </w:r>
      <w:r w:rsidRPr="00C43088">
        <w:rPr>
          <w:rFonts w:ascii="Arial" w:hAnsi="Arial" w:cs="Arial"/>
          <w:b/>
        </w:rPr>
        <w:t>aplicar</w:t>
      </w:r>
      <w:r w:rsidR="006E1BAA" w:rsidRPr="00C43088">
        <w:rPr>
          <w:rFonts w:ascii="Arial" w:hAnsi="Arial" w:cs="Arial"/>
          <w:b/>
        </w:rPr>
        <w:t xml:space="preserve"> tais</w:t>
      </w:r>
      <w:r w:rsidRPr="00C43088">
        <w:rPr>
          <w:rFonts w:ascii="Arial" w:hAnsi="Arial" w:cs="Arial"/>
          <w:b/>
        </w:rPr>
        <w:t xml:space="preserve"> enunciado</w:t>
      </w:r>
      <w:r w:rsidR="006E1BAA" w:rsidRPr="00C43088">
        <w:rPr>
          <w:rFonts w:ascii="Arial" w:hAnsi="Arial" w:cs="Arial"/>
          <w:b/>
        </w:rPr>
        <w:t>s</w:t>
      </w:r>
      <w:r w:rsidRPr="00C43088">
        <w:rPr>
          <w:rFonts w:ascii="Arial" w:hAnsi="Arial" w:cs="Arial"/>
          <w:b/>
        </w:rPr>
        <w:t xml:space="preserve">. </w:t>
      </w:r>
    </w:p>
    <w:p w:rsidR="00BD126A" w:rsidRDefault="00BD126A" w:rsidP="006A3B47">
      <w:pPr>
        <w:tabs>
          <w:tab w:val="left" w:pos="720"/>
        </w:tabs>
        <w:ind w:firstLine="1134"/>
        <w:jc w:val="both"/>
        <w:rPr>
          <w:rFonts w:ascii="Arial" w:eastAsia="HG Mincho Light J" w:hAnsi="Arial" w:cs="Arial"/>
          <w:color w:val="000000"/>
        </w:rPr>
      </w:pPr>
      <w:r>
        <w:rPr>
          <w:rFonts w:ascii="Arial" w:eastAsia="HG Mincho Light J" w:hAnsi="Arial" w:cs="Arial"/>
          <w:color w:val="000000"/>
        </w:rPr>
        <w:t xml:space="preserve">Em verdade, uma das razões </w:t>
      </w:r>
      <w:r w:rsidR="00294065">
        <w:rPr>
          <w:rFonts w:ascii="Arial" w:eastAsia="HG Mincho Light J" w:hAnsi="Arial" w:cs="Arial"/>
          <w:color w:val="000000"/>
        </w:rPr>
        <w:t>conexas</w:t>
      </w:r>
      <w:r>
        <w:rPr>
          <w:rFonts w:ascii="Arial" w:eastAsia="HG Mincho Light J" w:hAnsi="Arial" w:cs="Arial"/>
          <w:color w:val="000000"/>
        </w:rPr>
        <w:t xml:space="preserve"> deste Incidente,</w:t>
      </w:r>
      <w:r w:rsidR="00B33D4E">
        <w:rPr>
          <w:rFonts w:ascii="Arial" w:eastAsia="HG Mincho Light J" w:hAnsi="Arial" w:cs="Arial"/>
          <w:color w:val="000000"/>
        </w:rPr>
        <w:t xml:space="preserve"> é sobre o fato de que</w:t>
      </w:r>
      <w:r>
        <w:rPr>
          <w:rFonts w:ascii="Arial" w:eastAsia="HG Mincho Light J" w:hAnsi="Arial" w:cs="Arial"/>
          <w:color w:val="000000"/>
        </w:rPr>
        <w:t xml:space="preserve"> a 1ª Turma Recursal de </w:t>
      </w:r>
      <w:r w:rsidR="00AF4FD8">
        <w:rPr>
          <w:rFonts w:ascii="Arial" w:eastAsia="HG Mincho Light J" w:hAnsi="Arial" w:cs="Arial"/>
          <w:color w:val="000000"/>
        </w:rPr>
        <w:t>XXXXXXXX</w:t>
      </w:r>
      <w:r>
        <w:rPr>
          <w:rFonts w:ascii="Arial" w:eastAsia="HG Mincho Light J" w:hAnsi="Arial" w:cs="Arial"/>
          <w:color w:val="000000"/>
        </w:rPr>
        <w:t xml:space="preserve">, </w:t>
      </w:r>
      <w:r w:rsidR="00825024">
        <w:rPr>
          <w:rFonts w:ascii="Arial" w:eastAsia="HG Mincho Light J" w:hAnsi="Arial" w:cs="Arial"/>
          <w:color w:val="000000"/>
        </w:rPr>
        <w:t xml:space="preserve">tem aplicado </w:t>
      </w:r>
      <w:r>
        <w:rPr>
          <w:rFonts w:ascii="Arial" w:eastAsia="HG Mincho Light J" w:hAnsi="Arial" w:cs="Arial"/>
          <w:color w:val="000000"/>
        </w:rPr>
        <w:t xml:space="preserve">o inconstitucional regramento da Resolução </w:t>
      </w:r>
      <w:r w:rsidR="00C43088">
        <w:rPr>
          <w:rFonts w:ascii="Arial" w:eastAsia="HG Mincho Light J" w:hAnsi="Arial" w:cs="Arial"/>
          <w:color w:val="000000"/>
        </w:rPr>
        <w:t>345</w:t>
      </w:r>
      <w:r w:rsidR="00294065">
        <w:rPr>
          <w:rFonts w:ascii="Arial" w:eastAsia="HG Mincho Light J" w:hAnsi="Arial" w:cs="Arial"/>
          <w:color w:val="000000"/>
        </w:rPr>
        <w:t>/201</w:t>
      </w:r>
      <w:r w:rsidR="00C43088">
        <w:rPr>
          <w:rFonts w:ascii="Arial" w:eastAsia="HG Mincho Light J" w:hAnsi="Arial" w:cs="Arial"/>
          <w:color w:val="000000"/>
        </w:rPr>
        <w:t>5</w:t>
      </w:r>
      <w:r w:rsidR="00294065">
        <w:rPr>
          <w:rFonts w:ascii="Arial" w:eastAsia="HG Mincho Light J" w:hAnsi="Arial" w:cs="Arial"/>
          <w:color w:val="000000"/>
        </w:rPr>
        <w:t xml:space="preserve"> do CJF (que</w:t>
      </w:r>
      <w:r>
        <w:rPr>
          <w:rFonts w:ascii="Arial" w:eastAsia="HG Mincho Light J" w:hAnsi="Arial" w:cs="Arial"/>
          <w:color w:val="000000"/>
        </w:rPr>
        <w:t xml:space="preserve"> legislou restritivamente para dar à decisão </w:t>
      </w:r>
      <w:r w:rsidR="00825024">
        <w:rPr>
          <w:rFonts w:ascii="Arial" w:eastAsia="HG Mincho Light J" w:hAnsi="Arial" w:cs="Arial"/>
          <w:color w:val="000000"/>
        </w:rPr>
        <w:t>da Turma Recursal que inadmite Incidente de Uniformização da Jurisprudência com base em jurisprudência dominante da TNU ou STJ, o caráter de “ irrecorrível”</w:t>
      </w:r>
      <w:r w:rsidR="00294065">
        <w:rPr>
          <w:rFonts w:ascii="Arial" w:eastAsia="HG Mincho Light J" w:hAnsi="Arial" w:cs="Arial"/>
          <w:color w:val="000000"/>
        </w:rPr>
        <w:t xml:space="preserve">) </w:t>
      </w:r>
      <w:r w:rsidR="0059149D">
        <w:rPr>
          <w:rFonts w:ascii="Arial" w:eastAsia="HG Mincho Light J" w:hAnsi="Arial" w:cs="Arial"/>
          <w:color w:val="000000"/>
        </w:rPr>
        <w:t>para, com desvio de finalidade, não ter suas decisões revistas pela Instância Uniformizadora dos JEF’s que é a TNU</w:t>
      </w:r>
      <w:r w:rsidR="00825024">
        <w:rPr>
          <w:rFonts w:ascii="Arial" w:eastAsia="HG Mincho Light J" w:hAnsi="Arial" w:cs="Arial"/>
          <w:color w:val="000000"/>
        </w:rPr>
        <w:t xml:space="preserve">. </w:t>
      </w:r>
    </w:p>
    <w:p w:rsidR="00AF2ECA" w:rsidRPr="00E7259D" w:rsidRDefault="00AF2ECA" w:rsidP="006A3B47">
      <w:pPr>
        <w:pStyle w:val="NormalWeb"/>
        <w:spacing w:before="0" w:beforeAutospacing="0" w:after="0" w:afterAutospacing="0"/>
        <w:ind w:firstLine="1134"/>
        <w:jc w:val="both"/>
        <w:rPr>
          <w:rFonts w:ascii="Arial" w:hAnsi="Arial" w:cs="Arial"/>
          <w:color w:val="000000" w:themeColor="text1"/>
        </w:rPr>
      </w:pPr>
      <w:r w:rsidRPr="00E7259D">
        <w:rPr>
          <w:rFonts w:ascii="Arial" w:hAnsi="Arial" w:cs="Arial"/>
          <w:color w:val="000000" w:themeColor="text1"/>
        </w:rPr>
        <w:t>Infelizmente,</w:t>
      </w:r>
      <w:r w:rsidR="00446E11" w:rsidRPr="00E7259D">
        <w:rPr>
          <w:rFonts w:ascii="Arial" w:hAnsi="Arial" w:cs="Arial"/>
          <w:color w:val="000000" w:themeColor="text1"/>
        </w:rPr>
        <w:t xml:space="preserve"> não só na 1ª Turma Recursal de </w:t>
      </w:r>
      <w:proofErr w:type="gramStart"/>
      <w:r w:rsidR="00AF4FD8">
        <w:rPr>
          <w:rFonts w:ascii="Arial" w:hAnsi="Arial" w:cs="Arial"/>
          <w:color w:val="000000" w:themeColor="text1"/>
        </w:rPr>
        <w:t>XXXXX</w:t>
      </w:r>
      <w:r w:rsidR="00446E11" w:rsidRPr="00E7259D">
        <w:rPr>
          <w:rFonts w:ascii="Arial" w:hAnsi="Arial" w:cs="Arial"/>
          <w:color w:val="000000" w:themeColor="text1"/>
        </w:rPr>
        <w:t xml:space="preserve">, </w:t>
      </w:r>
      <w:r w:rsidRPr="00E7259D">
        <w:rPr>
          <w:rFonts w:ascii="Arial" w:hAnsi="Arial" w:cs="Arial"/>
          <w:color w:val="000000" w:themeColor="text1"/>
        </w:rPr>
        <w:t xml:space="preserve"> tem</w:t>
      </w:r>
      <w:proofErr w:type="gramEnd"/>
      <w:r w:rsidRPr="00E7259D">
        <w:rPr>
          <w:rFonts w:ascii="Arial" w:hAnsi="Arial" w:cs="Arial"/>
          <w:color w:val="000000" w:themeColor="text1"/>
        </w:rPr>
        <w:t>-se observ</w:t>
      </w:r>
      <w:r w:rsidR="00446E11" w:rsidRPr="00E7259D">
        <w:rPr>
          <w:rFonts w:ascii="Arial" w:hAnsi="Arial" w:cs="Arial"/>
          <w:color w:val="000000" w:themeColor="text1"/>
        </w:rPr>
        <w:t>ado que em algumas outras</w:t>
      </w:r>
      <w:r w:rsidRPr="00E7259D">
        <w:rPr>
          <w:rFonts w:ascii="Arial" w:hAnsi="Arial" w:cs="Arial"/>
          <w:color w:val="000000" w:themeColor="text1"/>
        </w:rPr>
        <w:t xml:space="preserve">, Brasil a fora, </w:t>
      </w:r>
      <w:r w:rsidR="00275C12" w:rsidRPr="00E7259D">
        <w:rPr>
          <w:rFonts w:ascii="Arial" w:hAnsi="Arial" w:cs="Arial"/>
          <w:color w:val="000000" w:themeColor="text1"/>
        </w:rPr>
        <w:t xml:space="preserve">utiliza-se </w:t>
      </w:r>
      <w:r w:rsidRPr="00E7259D">
        <w:rPr>
          <w:rFonts w:ascii="Arial" w:hAnsi="Arial" w:cs="Arial"/>
          <w:color w:val="000000" w:themeColor="text1"/>
        </w:rPr>
        <w:t>desse instituto</w:t>
      </w:r>
      <w:r w:rsidR="00275C12" w:rsidRPr="00E7259D">
        <w:rPr>
          <w:rFonts w:ascii="Arial" w:hAnsi="Arial" w:cs="Arial"/>
          <w:color w:val="000000" w:themeColor="text1"/>
        </w:rPr>
        <w:t xml:space="preserve"> ( irrecorribilidade da decisão que inadmite Incidente de Uniformização da Jurisprudência)</w:t>
      </w:r>
      <w:r w:rsidRPr="00E7259D">
        <w:rPr>
          <w:rFonts w:ascii="Arial" w:hAnsi="Arial" w:cs="Arial"/>
          <w:color w:val="000000" w:themeColor="text1"/>
        </w:rPr>
        <w:t xml:space="preserve">, </w:t>
      </w:r>
      <w:r w:rsidRPr="00E7259D">
        <w:rPr>
          <w:rFonts w:ascii="Arial" w:hAnsi="Arial" w:cs="Arial"/>
          <w:b/>
          <w:color w:val="000000" w:themeColor="text1"/>
          <w:u w:val="single"/>
        </w:rPr>
        <w:t>sob desvio de finalidade</w:t>
      </w:r>
      <w:r w:rsidRPr="00E7259D">
        <w:rPr>
          <w:rFonts w:ascii="Arial" w:hAnsi="Arial" w:cs="Arial"/>
          <w:color w:val="000000" w:themeColor="text1"/>
        </w:rPr>
        <w:t xml:space="preserve">, para manter a autoridade dos seus próprios julgados, evitando-se, com isso, </w:t>
      </w:r>
      <w:r w:rsidR="00275C12" w:rsidRPr="00E7259D">
        <w:rPr>
          <w:rFonts w:ascii="Arial" w:hAnsi="Arial" w:cs="Arial"/>
          <w:color w:val="000000" w:themeColor="text1"/>
        </w:rPr>
        <w:t>o eventual</w:t>
      </w:r>
      <w:r w:rsidRPr="00E7259D">
        <w:rPr>
          <w:rFonts w:ascii="Arial" w:hAnsi="Arial" w:cs="Arial"/>
          <w:color w:val="000000" w:themeColor="text1"/>
        </w:rPr>
        <w:t xml:space="preserve"> “</w:t>
      </w:r>
      <w:r w:rsidR="00BF2C46" w:rsidRPr="00E7259D">
        <w:rPr>
          <w:rFonts w:ascii="Arial" w:hAnsi="Arial" w:cs="Arial"/>
          <w:color w:val="000000" w:themeColor="text1"/>
        </w:rPr>
        <w:t>constrangimento “de</w:t>
      </w:r>
      <w:r w:rsidRPr="00E7259D">
        <w:rPr>
          <w:rFonts w:ascii="Arial" w:hAnsi="Arial" w:cs="Arial"/>
          <w:color w:val="000000" w:themeColor="text1"/>
        </w:rPr>
        <w:t xml:space="preserve"> terem suas decisões revistas pelas instâncias uniformizadoras da Jurisprudência. (Temos alguns casos paradigmas de decisões </w:t>
      </w:r>
      <w:r w:rsidRPr="00E7259D">
        <w:rPr>
          <w:rFonts w:ascii="Arial" w:hAnsi="Arial" w:cs="Arial"/>
          <w:color w:val="000000" w:themeColor="text1"/>
        </w:rPr>
        <w:lastRenderedPageBreak/>
        <w:t xml:space="preserve">teratológicas, fornecidas por colaboradores, a apresentar a este </w:t>
      </w:r>
      <w:r w:rsidR="00F83FF3" w:rsidRPr="00E7259D">
        <w:rPr>
          <w:rFonts w:ascii="Arial" w:hAnsi="Arial" w:cs="Arial"/>
          <w:color w:val="000000" w:themeColor="text1"/>
        </w:rPr>
        <w:t>Colegiado</w:t>
      </w:r>
      <w:r w:rsidRPr="00E7259D">
        <w:rPr>
          <w:rFonts w:ascii="Arial" w:hAnsi="Arial" w:cs="Arial"/>
          <w:color w:val="000000" w:themeColor="text1"/>
        </w:rPr>
        <w:t>, caso entenda necessário).</w:t>
      </w:r>
    </w:p>
    <w:p w:rsidR="00AF2ECA" w:rsidRPr="00E7259D" w:rsidRDefault="00AF2ECA" w:rsidP="006A3B47">
      <w:pPr>
        <w:pStyle w:val="NormalWeb"/>
        <w:spacing w:before="0" w:beforeAutospacing="0" w:after="0" w:afterAutospacing="0"/>
        <w:ind w:firstLine="1134"/>
        <w:jc w:val="both"/>
        <w:rPr>
          <w:rFonts w:ascii="Arial" w:hAnsi="Arial" w:cs="Arial"/>
          <w:color w:val="000000" w:themeColor="text1"/>
        </w:rPr>
      </w:pPr>
      <w:r w:rsidRPr="00E7259D">
        <w:rPr>
          <w:rFonts w:ascii="Arial" w:hAnsi="Arial" w:cs="Arial"/>
          <w:color w:val="000000" w:themeColor="text1"/>
        </w:rPr>
        <w:t>A partir da Resolução 39</w:t>
      </w:r>
      <w:r w:rsidR="00E7259D">
        <w:rPr>
          <w:rFonts w:ascii="Arial" w:hAnsi="Arial" w:cs="Arial"/>
          <w:color w:val="000000" w:themeColor="text1"/>
        </w:rPr>
        <w:t>2</w:t>
      </w:r>
      <w:r w:rsidRPr="00E7259D">
        <w:rPr>
          <w:rFonts w:ascii="Arial" w:hAnsi="Arial" w:cs="Arial"/>
          <w:color w:val="000000" w:themeColor="text1"/>
        </w:rPr>
        <w:t>/2016 do CJF,</w:t>
      </w:r>
      <w:r w:rsidR="00E7259D">
        <w:rPr>
          <w:rFonts w:ascii="Arial" w:hAnsi="Arial" w:cs="Arial"/>
          <w:color w:val="000000" w:themeColor="text1"/>
        </w:rPr>
        <w:t xml:space="preserve"> que alterou a Resolução 345/2015 do </w:t>
      </w:r>
      <w:r w:rsidR="00BF2C46">
        <w:rPr>
          <w:rFonts w:ascii="Arial" w:hAnsi="Arial" w:cs="Arial"/>
          <w:color w:val="000000" w:themeColor="text1"/>
        </w:rPr>
        <w:t xml:space="preserve">CJF, </w:t>
      </w:r>
      <w:r w:rsidR="00BF2C46" w:rsidRPr="00E7259D">
        <w:rPr>
          <w:rFonts w:ascii="Arial" w:hAnsi="Arial" w:cs="Arial"/>
          <w:color w:val="000000" w:themeColor="text1"/>
        </w:rPr>
        <w:t>as</w:t>
      </w:r>
      <w:r w:rsidRPr="00E7259D">
        <w:rPr>
          <w:rFonts w:ascii="Arial" w:hAnsi="Arial" w:cs="Arial"/>
          <w:color w:val="000000" w:themeColor="text1"/>
        </w:rPr>
        <w:t xml:space="preserve"> decisões de Turmas Recursais dos JEF’s sobre </w:t>
      </w:r>
      <w:r w:rsidRPr="00F1317A">
        <w:rPr>
          <w:rFonts w:ascii="Arial" w:hAnsi="Arial" w:cs="Arial"/>
          <w:b/>
          <w:color w:val="000000" w:themeColor="text1"/>
        </w:rPr>
        <w:t>a</w:t>
      </w:r>
      <w:r w:rsidR="00F1317A">
        <w:rPr>
          <w:rFonts w:ascii="Arial" w:hAnsi="Arial" w:cs="Arial"/>
          <w:b/>
          <w:color w:val="000000" w:themeColor="text1"/>
        </w:rPr>
        <w:t xml:space="preserve"> decisão de</w:t>
      </w:r>
      <w:r w:rsidRPr="00F1317A">
        <w:rPr>
          <w:rFonts w:ascii="Arial" w:hAnsi="Arial" w:cs="Arial"/>
          <w:b/>
          <w:color w:val="000000" w:themeColor="text1"/>
        </w:rPr>
        <w:t xml:space="preserve"> inadmissibilidade de Incidentes de Uniformização da Jurisprudência</w:t>
      </w:r>
      <w:r w:rsidRPr="00E7259D">
        <w:rPr>
          <w:rFonts w:ascii="Arial" w:hAnsi="Arial" w:cs="Arial"/>
          <w:color w:val="000000" w:themeColor="text1"/>
        </w:rPr>
        <w:t xml:space="preserve">, quando - de qualquer forma- mesmo que incoerente, fundamentada em súmula da TNU ou STJ- </w:t>
      </w:r>
      <w:r w:rsidRPr="00F1317A">
        <w:rPr>
          <w:rFonts w:ascii="Arial" w:hAnsi="Arial" w:cs="Arial"/>
          <w:b/>
          <w:color w:val="000000" w:themeColor="text1"/>
        </w:rPr>
        <w:t>se torna irrecorrível.</w:t>
      </w:r>
      <w:r w:rsidRPr="00E7259D">
        <w:rPr>
          <w:rFonts w:ascii="Arial" w:hAnsi="Arial" w:cs="Arial"/>
          <w:color w:val="000000" w:themeColor="text1"/>
        </w:rPr>
        <w:t xml:space="preserve">  </w:t>
      </w:r>
    </w:p>
    <w:p w:rsidR="00AF2ECA" w:rsidRPr="00E7259D" w:rsidRDefault="00AF2ECA" w:rsidP="006A3B47">
      <w:pPr>
        <w:pStyle w:val="NormalWeb"/>
        <w:spacing w:before="0" w:beforeAutospacing="0" w:after="0" w:afterAutospacing="0"/>
        <w:ind w:firstLine="1134"/>
        <w:jc w:val="both"/>
        <w:rPr>
          <w:rFonts w:ascii="Arial" w:hAnsi="Arial" w:cs="Arial"/>
          <w:color w:val="000000" w:themeColor="text1"/>
        </w:rPr>
      </w:pPr>
      <w:r w:rsidRPr="00E7259D">
        <w:rPr>
          <w:rFonts w:ascii="Arial" w:hAnsi="Arial" w:cs="Arial"/>
          <w:color w:val="000000" w:themeColor="text1"/>
        </w:rPr>
        <w:t>Estão controlando a litigiosidade, sim, mas indevidamente e às custas de muita injustiça.</w:t>
      </w:r>
    </w:p>
    <w:p w:rsidR="00AF2ECA" w:rsidRPr="00E7259D" w:rsidRDefault="006D3573" w:rsidP="006A3B47">
      <w:pPr>
        <w:pStyle w:val="NormalWeb"/>
        <w:spacing w:before="0" w:beforeAutospacing="0" w:after="0" w:afterAutospacing="0"/>
        <w:ind w:firstLine="1134"/>
        <w:jc w:val="both"/>
        <w:rPr>
          <w:rFonts w:ascii="Arial" w:hAnsi="Arial" w:cs="Arial"/>
          <w:color w:val="000000" w:themeColor="text1"/>
        </w:rPr>
      </w:pPr>
      <w:r w:rsidRPr="00E7259D">
        <w:rPr>
          <w:rFonts w:ascii="Arial" w:hAnsi="Arial" w:cs="Arial"/>
          <w:color w:val="000000" w:themeColor="text1"/>
        </w:rPr>
        <w:t>Alguns j</w:t>
      </w:r>
      <w:r w:rsidR="00AF2ECA" w:rsidRPr="00E7259D">
        <w:rPr>
          <w:rFonts w:ascii="Arial" w:hAnsi="Arial" w:cs="Arial"/>
          <w:color w:val="000000" w:themeColor="text1"/>
        </w:rPr>
        <w:t xml:space="preserve">uízes componentes de Turmas Recursais </w:t>
      </w:r>
      <w:r w:rsidR="00AF2ECA" w:rsidRPr="00F1317A">
        <w:rPr>
          <w:rFonts w:ascii="Arial" w:hAnsi="Arial" w:cs="Arial"/>
          <w:b/>
          <w:color w:val="000000" w:themeColor="text1"/>
        </w:rPr>
        <w:t>preferem “inadmitir” Incidentes notoriamente admissíveis, aplicando sumulas que nada tem a ver com o caso que se apresenta, utilizando-se, para isso, da “inovação legislativa” editada pelo CJF através da Resolução 39</w:t>
      </w:r>
      <w:r w:rsidRPr="00F1317A">
        <w:rPr>
          <w:rFonts w:ascii="Arial" w:hAnsi="Arial" w:cs="Arial"/>
          <w:b/>
          <w:color w:val="000000" w:themeColor="text1"/>
        </w:rPr>
        <w:t>2</w:t>
      </w:r>
      <w:r w:rsidR="00AF2ECA" w:rsidRPr="00F1317A">
        <w:rPr>
          <w:rFonts w:ascii="Arial" w:hAnsi="Arial" w:cs="Arial"/>
          <w:b/>
          <w:color w:val="000000" w:themeColor="text1"/>
        </w:rPr>
        <w:t>/2016 em comento</w:t>
      </w:r>
      <w:r w:rsidR="00AF2ECA" w:rsidRPr="00E7259D">
        <w:rPr>
          <w:rFonts w:ascii="Arial" w:hAnsi="Arial" w:cs="Arial"/>
          <w:color w:val="000000" w:themeColor="text1"/>
        </w:rPr>
        <w:t xml:space="preserve">.  </w:t>
      </w:r>
    </w:p>
    <w:p w:rsidR="00053120" w:rsidRPr="00135DAC" w:rsidRDefault="006D3573" w:rsidP="006A3B47">
      <w:pPr>
        <w:tabs>
          <w:tab w:val="left" w:pos="720"/>
        </w:tabs>
        <w:ind w:firstLine="1134"/>
        <w:jc w:val="both"/>
        <w:rPr>
          <w:rFonts w:ascii="Arial" w:eastAsia="HG Mincho Light J" w:hAnsi="Arial" w:cs="Arial"/>
          <w:b/>
          <w:color w:val="000000"/>
        </w:rPr>
      </w:pPr>
      <w:r w:rsidRPr="00E7259D">
        <w:rPr>
          <w:rFonts w:ascii="Arial" w:eastAsia="HG Mincho Light J" w:hAnsi="Arial" w:cs="Arial"/>
          <w:color w:val="000000"/>
        </w:rPr>
        <w:t xml:space="preserve">Com isso, </w:t>
      </w:r>
      <w:r w:rsidRPr="00135DAC">
        <w:rPr>
          <w:rFonts w:ascii="Arial" w:eastAsia="HG Mincho Light J" w:hAnsi="Arial" w:cs="Arial"/>
          <w:b/>
          <w:color w:val="000000"/>
        </w:rPr>
        <w:t xml:space="preserve">como objeto principal, </w:t>
      </w:r>
      <w:r w:rsidR="001C22AE" w:rsidRPr="00135DAC">
        <w:rPr>
          <w:rFonts w:ascii="Arial" w:eastAsia="HG Mincho Light J" w:hAnsi="Arial" w:cs="Arial"/>
          <w:b/>
          <w:color w:val="000000"/>
        </w:rPr>
        <w:t>o que se pretende com este Incidente de Resolução de Demandas Repetitivas é fixar a</w:t>
      </w:r>
      <w:r w:rsidR="004D3484" w:rsidRPr="00135DAC">
        <w:rPr>
          <w:rFonts w:ascii="Arial" w:eastAsia="HG Mincho Light J" w:hAnsi="Arial" w:cs="Arial"/>
          <w:b/>
          <w:color w:val="000000"/>
        </w:rPr>
        <w:t>s</w:t>
      </w:r>
      <w:r w:rsidR="001C22AE" w:rsidRPr="00135DAC">
        <w:rPr>
          <w:rFonts w:ascii="Arial" w:eastAsia="HG Mincho Light J" w:hAnsi="Arial" w:cs="Arial"/>
          <w:b/>
          <w:color w:val="000000"/>
        </w:rPr>
        <w:t xml:space="preserve"> tese</w:t>
      </w:r>
      <w:r w:rsidR="004D3484" w:rsidRPr="00135DAC">
        <w:rPr>
          <w:rFonts w:ascii="Arial" w:eastAsia="HG Mincho Light J" w:hAnsi="Arial" w:cs="Arial"/>
          <w:b/>
          <w:color w:val="000000"/>
        </w:rPr>
        <w:t>s</w:t>
      </w:r>
      <w:r w:rsidR="001C22AE" w:rsidRPr="00135DAC">
        <w:rPr>
          <w:rFonts w:ascii="Arial" w:eastAsia="HG Mincho Light J" w:hAnsi="Arial" w:cs="Arial"/>
          <w:b/>
          <w:color w:val="000000"/>
        </w:rPr>
        <w:t xml:space="preserve"> jurídica</w:t>
      </w:r>
      <w:r w:rsidR="004D3484" w:rsidRPr="00135DAC">
        <w:rPr>
          <w:rFonts w:ascii="Arial" w:eastAsia="HG Mincho Light J" w:hAnsi="Arial" w:cs="Arial"/>
          <w:b/>
          <w:color w:val="000000"/>
        </w:rPr>
        <w:t xml:space="preserve">s </w:t>
      </w:r>
      <w:r w:rsidR="000F50AC" w:rsidRPr="00135DAC">
        <w:rPr>
          <w:rFonts w:ascii="Arial" w:eastAsia="HG Mincho Light J" w:hAnsi="Arial" w:cs="Arial"/>
          <w:b/>
          <w:color w:val="000000"/>
        </w:rPr>
        <w:t>(conexas</w:t>
      </w:r>
      <w:r w:rsidR="004D3484" w:rsidRPr="00135DAC">
        <w:rPr>
          <w:rFonts w:ascii="Arial" w:eastAsia="HG Mincho Light J" w:hAnsi="Arial" w:cs="Arial"/>
          <w:b/>
          <w:color w:val="000000"/>
        </w:rPr>
        <w:t xml:space="preserve"> e referentes a uma mesma matéria de direito processual e material)</w:t>
      </w:r>
      <w:r w:rsidR="001C22AE" w:rsidRPr="00135DAC">
        <w:rPr>
          <w:rFonts w:ascii="Arial" w:eastAsia="HG Mincho Light J" w:hAnsi="Arial" w:cs="Arial"/>
          <w:b/>
          <w:color w:val="000000"/>
        </w:rPr>
        <w:t xml:space="preserve"> abaixo discriminada e de forma fracionada para melhor inteligibilidade</w:t>
      </w:r>
      <w:r w:rsidR="00053120" w:rsidRPr="00135DAC">
        <w:rPr>
          <w:rFonts w:ascii="Arial" w:eastAsia="HG Mincho Light J" w:hAnsi="Arial" w:cs="Arial"/>
          <w:b/>
          <w:color w:val="000000"/>
        </w:rPr>
        <w:t>:</w:t>
      </w:r>
    </w:p>
    <w:p w:rsidR="00053120" w:rsidRDefault="00053120" w:rsidP="00053120">
      <w:pPr>
        <w:tabs>
          <w:tab w:val="left" w:pos="720"/>
        </w:tabs>
        <w:jc w:val="both"/>
        <w:rPr>
          <w:rFonts w:ascii="Arial" w:eastAsia="HG Mincho Light J" w:hAnsi="Arial" w:cs="Arial"/>
          <w:color w:val="000000"/>
        </w:rPr>
      </w:pPr>
    </w:p>
    <w:p w:rsidR="00053120" w:rsidRPr="00DA1718" w:rsidRDefault="001C22AE" w:rsidP="00365D5D">
      <w:pPr>
        <w:tabs>
          <w:tab w:val="left" w:pos="720"/>
        </w:tabs>
        <w:spacing w:line="240" w:lineRule="auto"/>
        <w:ind w:left="1134"/>
        <w:jc w:val="both"/>
        <w:rPr>
          <w:rFonts w:ascii="Arial" w:eastAsia="HG Mincho Light J" w:hAnsi="Arial" w:cs="Arial"/>
          <w:i/>
          <w:color w:val="000000"/>
          <w:sz w:val="20"/>
          <w:szCs w:val="20"/>
        </w:rPr>
      </w:pPr>
      <w:r w:rsidRPr="00DA1718">
        <w:rPr>
          <w:rFonts w:ascii="Arial" w:eastAsia="HG Mincho Light J" w:hAnsi="Arial" w:cs="Arial"/>
          <w:i/>
          <w:color w:val="000000"/>
          <w:sz w:val="20"/>
          <w:szCs w:val="20"/>
        </w:rPr>
        <w:t>“</w:t>
      </w:r>
      <w:r w:rsidR="00053120" w:rsidRPr="00DA1718">
        <w:rPr>
          <w:rFonts w:ascii="Arial" w:eastAsia="HG Mincho Light J" w:hAnsi="Arial" w:cs="Arial"/>
          <w:i/>
          <w:color w:val="000000"/>
          <w:sz w:val="20"/>
          <w:szCs w:val="20"/>
        </w:rPr>
        <w:t>Nos processos previdenciários relacionados a benefícios rurais, e</w:t>
      </w:r>
      <w:r w:rsidRPr="00DA1718">
        <w:rPr>
          <w:rFonts w:ascii="Arial" w:eastAsia="HG Mincho Light J" w:hAnsi="Arial" w:cs="Arial"/>
          <w:i/>
          <w:color w:val="000000"/>
          <w:sz w:val="20"/>
          <w:szCs w:val="20"/>
        </w:rPr>
        <w:t xml:space="preserve">xistindo </w:t>
      </w:r>
      <w:r w:rsidR="00F03F80" w:rsidRPr="00DA1718">
        <w:rPr>
          <w:rFonts w:ascii="Arial" w:eastAsia="HG Mincho Light J" w:hAnsi="Arial" w:cs="Arial"/>
          <w:i/>
          <w:color w:val="000000"/>
          <w:sz w:val="20"/>
          <w:szCs w:val="20"/>
        </w:rPr>
        <w:t>documentos nos</w:t>
      </w:r>
      <w:r w:rsidRPr="00DA1718">
        <w:rPr>
          <w:rFonts w:ascii="Arial" w:eastAsia="HG Mincho Light J" w:hAnsi="Arial" w:cs="Arial"/>
          <w:i/>
          <w:color w:val="000000"/>
          <w:sz w:val="20"/>
          <w:szCs w:val="20"/>
        </w:rPr>
        <w:t xml:space="preserve"> autos</w:t>
      </w:r>
      <w:r w:rsidR="00F03F80">
        <w:rPr>
          <w:rFonts w:ascii="Arial" w:eastAsia="HG Mincho Light J" w:hAnsi="Arial" w:cs="Arial"/>
          <w:i/>
          <w:color w:val="000000"/>
          <w:sz w:val="20"/>
          <w:szCs w:val="20"/>
        </w:rPr>
        <w:t xml:space="preserve"> (mesmo que seja um apenas)</w:t>
      </w:r>
      <w:r w:rsidRPr="00DA1718">
        <w:rPr>
          <w:rFonts w:ascii="Arial" w:eastAsia="HG Mincho Light J" w:hAnsi="Arial" w:cs="Arial"/>
          <w:i/>
          <w:color w:val="000000"/>
          <w:sz w:val="20"/>
          <w:szCs w:val="20"/>
        </w:rPr>
        <w:t>, considerados como início de prova material, mesmo que não sejam contemporâneos ao período de carência</w:t>
      </w:r>
      <w:r w:rsidR="00F03F80">
        <w:rPr>
          <w:rFonts w:ascii="Arial" w:eastAsia="HG Mincho Light J" w:hAnsi="Arial" w:cs="Arial"/>
          <w:i/>
          <w:color w:val="000000"/>
          <w:sz w:val="20"/>
          <w:szCs w:val="20"/>
        </w:rPr>
        <w:t xml:space="preserve"> do benefício</w:t>
      </w:r>
      <w:r w:rsidRPr="00DA1718">
        <w:rPr>
          <w:rFonts w:ascii="Arial" w:eastAsia="HG Mincho Light J" w:hAnsi="Arial" w:cs="Arial"/>
          <w:i/>
          <w:color w:val="000000"/>
          <w:sz w:val="20"/>
          <w:szCs w:val="20"/>
        </w:rPr>
        <w:t xml:space="preserve">, devem ser tratados no plano da </w:t>
      </w:r>
      <w:proofErr w:type="gramStart"/>
      <w:r w:rsidRPr="00DA1718">
        <w:rPr>
          <w:rFonts w:ascii="Arial" w:eastAsia="HG Mincho Light J" w:hAnsi="Arial" w:cs="Arial"/>
          <w:i/>
          <w:color w:val="000000"/>
          <w:sz w:val="20"/>
          <w:szCs w:val="20"/>
        </w:rPr>
        <w:t>existência,  por</w:t>
      </w:r>
      <w:proofErr w:type="gramEnd"/>
      <w:r w:rsidRPr="00DA1718">
        <w:rPr>
          <w:rFonts w:ascii="Arial" w:eastAsia="HG Mincho Light J" w:hAnsi="Arial" w:cs="Arial"/>
          <w:i/>
          <w:color w:val="000000"/>
          <w:sz w:val="20"/>
          <w:szCs w:val="20"/>
        </w:rPr>
        <w:t xml:space="preserve"> conseguinte, inaplicável a súmula 149 do STJ a estes casos.</w:t>
      </w:r>
      <w:r w:rsidR="00F03F80">
        <w:rPr>
          <w:rFonts w:ascii="Arial" w:eastAsia="HG Mincho Light J" w:hAnsi="Arial" w:cs="Arial"/>
          <w:i/>
          <w:color w:val="000000"/>
          <w:sz w:val="20"/>
          <w:szCs w:val="20"/>
        </w:rPr>
        <w:t>”</w:t>
      </w:r>
      <w:r w:rsidRPr="00DA1718">
        <w:rPr>
          <w:rFonts w:ascii="Arial" w:eastAsia="HG Mincho Light J" w:hAnsi="Arial" w:cs="Arial"/>
          <w:i/>
          <w:color w:val="000000"/>
          <w:sz w:val="20"/>
          <w:szCs w:val="20"/>
        </w:rPr>
        <w:t xml:space="preserve"> </w:t>
      </w:r>
    </w:p>
    <w:p w:rsidR="00FB587C" w:rsidRPr="00DA1718" w:rsidRDefault="00FB587C" w:rsidP="00365D5D">
      <w:pPr>
        <w:tabs>
          <w:tab w:val="left" w:pos="720"/>
        </w:tabs>
        <w:spacing w:line="240" w:lineRule="auto"/>
        <w:ind w:left="1134"/>
        <w:jc w:val="both"/>
        <w:rPr>
          <w:rFonts w:ascii="Arial" w:eastAsia="HG Mincho Light J" w:hAnsi="Arial" w:cs="Arial"/>
          <w:i/>
          <w:color w:val="000000"/>
          <w:sz w:val="20"/>
          <w:szCs w:val="20"/>
        </w:rPr>
      </w:pPr>
    </w:p>
    <w:p w:rsidR="001C22AE" w:rsidRDefault="00DA1718" w:rsidP="00365D5D">
      <w:pPr>
        <w:tabs>
          <w:tab w:val="left" w:pos="720"/>
        </w:tabs>
        <w:spacing w:line="240" w:lineRule="auto"/>
        <w:ind w:left="1134"/>
        <w:jc w:val="both"/>
        <w:rPr>
          <w:rFonts w:ascii="Arial" w:hAnsi="Arial" w:cs="Arial"/>
          <w:sz w:val="20"/>
          <w:szCs w:val="20"/>
        </w:rPr>
      </w:pPr>
      <w:r w:rsidRPr="00DA1718">
        <w:rPr>
          <w:rFonts w:ascii="Arial" w:eastAsia="HG Mincho Light J" w:hAnsi="Arial" w:cs="Arial"/>
          <w:i/>
          <w:color w:val="000000"/>
          <w:sz w:val="20"/>
          <w:szCs w:val="20"/>
        </w:rPr>
        <w:t>“</w:t>
      </w:r>
      <w:r w:rsidR="001C22AE" w:rsidRPr="00DA1718">
        <w:rPr>
          <w:rFonts w:ascii="Arial" w:eastAsia="HG Mincho Light J" w:hAnsi="Arial" w:cs="Arial"/>
          <w:i/>
          <w:color w:val="000000"/>
          <w:sz w:val="20"/>
          <w:szCs w:val="20"/>
        </w:rPr>
        <w:t xml:space="preserve">No mesmo sentido, não se pode inadmitir recursos admissíveis sob argumentos desconexos da realidade dos autos e que não se adequam ao caso, </w:t>
      </w:r>
      <w:r w:rsidR="00053120" w:rsidRPr="00DA1718">
        <w:rPr>
          <w:rFonts w:ascii="Arial" w:eastAsia="HG Mincho Light J" w:hAnsi="Arial" w:cs="Arial"/>
          <w:i/>
          <w:color w:val="000000"/>
          <w:sz w:val="20"/>
          <w:szCs w:val="20"/>
        </w:rPr>
        <w:t xml:space="preserve">em observância ao </w:t>
      </w:r>
      <w:r w:rsidR="00FB587C" w:rsidRPr="00166AB7">
        <w:rPr>
          <w:rFonts w:ascii="Arial" w:hAnsi="Arial" w:cs="Arial"/>
          <w:b/>
          <w:i/>
          <w:sz w:val="20"/>
          <w:szCs w:val="20"/>
        </w:rPr>
        <w:t>art. 489, V, do NCPC</w:t>
      </w:r>
      <w:r w:rsidR="00FB587C" w:rsidRPr="00166AB7">
        <w:rPr>
          <w:rFonts w:ascii="Arial" w:hAnsi="Arial" w:cs="Arial"/>
          <w:i/>
          <w:sz w:val="20"/>
          <w:szCs w:val="20"/>
        </w:rPr>
        <w:t xml:space="preserve">, o </w:t>
      </w:r>
      <w:r w:rsidR="00166AB7" w:rsidRPr="00166AB7">
        <w:rPr>
          <w:rFonts w:ascii="Arial" w:hAnsi="Arial" w:cs="Arial"/>
          <w:i/>
          <w:sz w:val="20"/>
          <w:szCs w:val="20"/>
        </w:rPr>
        <w:t>qual</w:t>
      </w:r>
      <w:r w:rsidR="00FB587C" w:rsidRPr="00166AB7">
        <w:rPr>
          <w:rFonts w:ascii="Arial" w:hAnsi="Arial" w:cs="Arial"/>
          <w:i/>
          <w:sz w:val="20"/>
          <w:szCs w:val="20"/>
        </w:rPr>
        <w:t xml:space="preserve"> normatiza que o juiz não pode se se limitar a invocar precedente ou enunciado de súmula, sem identificar seus fundamentos determinantes nem demonstrar que o caso sob julgamento se ajusta àqueles fundamentos</w:t>
      </w:r>
      <w:r w:rsidRPr="00166AB7">
        <w:rPr>
          <w:rFonts w:ascii="Arial" w:hAnsi="Arial" w:cs="Arial"/>
          <w:i/>
          <w:sz w:val="20"/>
          <w:szCs w:val="20"/>
        </w:rPr>
        <w:t>.”</w:t>
      </w:r>
    </w:p>
    <w:p w:rsidR="00DA1718" w:rsidRDefault="00DA1718" w:rsidP="00365D5D">
      <w:pPr>
        <w:tabs>
          <w:tab w:val="left" w:pos="720"/>
        </w:tabs>
        <w:spacing w:line="240" w:lineRule="auto"/>
        <w:ind w:left="1134"/>
        <w:jc w:val="both"/>
        <w:rPr>
          <w:rFonts w:ascii="Arial" w:eastAsia="HG Mincho Light J" w:hAnsi="Arial" w:cs="Arial"/>
          <w:i/>
          <w:color w:val="000000"/>
          <w:sz w:val="20"/>
          <w:szCs w:val="20"/>
        </w:rPr>
      </w:pPr>
    </w:p>
    <w:p w:rsidR="00DA1718" w:rsidRDefault="00DA1718" w:rsidP="00365D5D">
      <w:pPr>
        <w:tabs>
          <w:tab w:val="left" w:pos="720"/>
        </w:tabs>
        <w:spacing w:line="240" w:lineRule="auto"/>
        <w:ind w:left="1134"/>
        <w:jc w:val="both"/>
        <w:rPr>
          <w:rFonts w:ascii="Arial" w:hAnsi="Arial" w:cs="Arial"/>
          <w:sz w:val="20"/>
          <w:szCs w:val="20"/>
        </w:rPr>
      </w:pPr>
      <w:r>
        <w:rPr>
          <w:rFonts w:ascii="Arial" w:eastAsia="HG Mincho Light J" w:hAnsi="Arial" w:cs="Arial"/>
          <w:i/>
          <w:color w:val="000000"/>
          <w:sz w:val="20"/>
          <w:szCs w:val="20"/>
        </w:rPr>
        <w:t>“</w:t>
      </w:r>
      <w:r w:rsidRPr="00E87CCA">
        <w:rPr>
          <w:rFonts w:ascii="Arial" w:eastAsia="HG Mincho Light J" w:hAnsi="Arial" w:cs="Arial"/>
          <w:i/>
          <w:color w:val="000000"/>
          <w:sz w:val="20"/>
          <w:szCs w:val="20"/>
        </w:rPr>
        <w:t xml:space="preserve">Nos benefícios relacionados a trabalhadores rurais em que a controvérsia probatória se refira a documentos considerados início de prova material, não se aplica a sumula 42 da TNU para inadmitir Incidentes de Uniformização, </w:t>
      </w:r>
      <w:r w:rsidR="00E87CCA" w:rsidRPr="00E87CCA">
        <w:rPr>
          <w:rFonts w:ascii="Arial" w:eastAsia="HG Mincho Light J" w:hAnsi="Arial" w:cs="Arial"/>
          <w:i/>
          <w:color w:val="000000"/>
          <w:sz w:val="20"/>
          <w:szCs w:val="20"/>
        </w:rPr>
        <w:t xml:space="preserve">já que, nesses casos, </w:t>
      </w:r>
      <w:r w:rsidR="00E87CCA" w:rsidRPr="00E87CCA">
        <w:rPr>
          <w:rFonts w:ascii="Arial" w:hAnsi="Arial" w:cs="Arial"/>
          <w:sz w:val="20"/>
          <w:szCs w:val="20"/>
        </w:rPr>
        <w:t>não se está diante de reexame da prova em si, mas de mero exame da conformidade da interpretação dada pela Turma Recursal à lei federal quanto aos critérios jurídicos adotados para valoração desta. Entendimento sedimentado no âmbito do STJ e desta Turma de Uniformização</w:t>
      </w:r>
      <w:r w:rsidR="00E87CCA">
        <w:rPr>
          <w:rFonts w:ascii="Arial" w:hAnsi="Arial" w:cs="Arial"/>
          <w:sz w:val="20"/>
          <w:szCs w:val="20"/>
        </w:rPr>
        <w:t>”</w:t>
      </w:r>
    </w:p>
    <w:p w:rsidR="00656032" w:rsidRPr="00656032" w:rsidRDefault="00656032" w:rsidP="00365D5D">
      <w:pPr>
        <w:tabs>
          <w:tab w:val="left" w:pos="720"/>
        </w:tabs>
        <w:spacing w:line="240" w:lineRule="auto"/>
        <w:ind w:left="1134"/>
        <w:jc w:val="both"/>
        <w:rPr>
          <w:rFonts w:ascii="Arial" w:eastAsia="HG Mincho Light J" w:hAnsi="Arial" w:cs="Arial"/>
          <w:i/>
          <w:color w:val="000000"/>
          <w:sz w:val="20"/>
          <w:szCs w:val="20"/>
        </w:rPr>
      </w:pPr>
      <w:r w:rsidRPr="00656032">
        <w:rPr>
          <w:rFonts w:ascii="Arial" w:eastAsia="HG Mincho Light J" w:hAnsi="Arial" w:cs="Arial"/>
          <w:i/>
          <w:color w:val="000000"/>
          <w:sz w:val="20"/>
          <w:szCs w:val="20"/>
        </w:rPr>
        <w:t>“</w:t>
      </w:r>
      <w:r w:rsidRPr="00656032">
        <w:rPr>
          <w:rFonts w:ascii="Arial" w:eastAsia="HG Mincho Light J" w:hAnsi="Arial" w:cs="Arial"/>
          <w:b/>
          <w:i/>
          <w:color w:val="000000"/>
          <w:sz w:val="20"/>
          <w:szCs w:val="20"/>
        </w:rPr>
        <w:t>Não se aplica a sumula 54 da TNU aos casos em que o inicio de prova material for relativo a data longínqua (período distante do período de carência) ao período imediatamente anterior ao requerimento do benefício ou ao implemento da idade, mas sua eficácia temporal for ampliada por firme prova testemunhal,</w:t>
      </w:r>
      <w:r w:rsidRPr="00656032">
        <w:rPr>
          <w:rFonts w:ascii="Arial" w:eastAsia="HG Mincho Light J" w:hAnsi="Arial" w:cs="Arial"/>
          <w:i/>
          <w:color w:val="000000"/>
          <w:sz w:val="20"/>
          <w:szCs w:val="20"/>
        </w:rPr>
        <w:t xml:space="preserve"> a teor dos inúmeros precedentes da TNU, do STJ e deste Tribunal. Qualquer decisão que aplicar a sumula 54 da TNU deve relacioná-la as circunstâncias fáticas e probatórias especificas em observância ao art. 489, V, do NCPC.”</w:t>
      </w:r>
    </w:p>
    <w:p w:rsidR="00F36855" w:rsidRDefault="00F36855" w:rsidP="00253F25">
      <w:pPr>
        <w:autoSpaceDE w:val="0"/>
        <w:autoSpaceDN w:val="0"/>
        <w:adjustRightInd w:val="0"/>
        <w:ind w:left="33" w:firstLine="709"/>
        <w:jc w:val="both"/>
        <w:rPr>
          <w:rFonts w:ascii="Arial" w:hAnsi="Arial" w:cs="Arial"/>
          <w:color w:val="000000" w:themeColor="text1"/>
        </w:rPr>
      </w:pPr>
    </w:p>
    <w:p w:rsidR="00253F25" w:rsidRDefault="006D3573" w:rsidP="006A3B47">
      <w:pPr>
        <w:autoSpaceDE w:val="0"/>
        <w:autoSpaceDN w:val="0"/>
        <w:adjustRightInd w:val="0"/>
        <w:ind w:left="33" w:firstLine="1101"/>
        <w:jc w:val="both"/>
        <w:rPr>
          <w:rFonts w:ascii="Arial" w:hAnsi="Arial" w:cs="Arial"/>
        </w:rPr>
      </w:pPr>
      <w:r w:rsidRPr="00253F25">
        <w:rPr>
          <w:rFonts w:ascii="Arial" w:hAnsi="Arial" w:cs="Arial"/>
          <w:color w:val="000000" w:themeColor="text1"/>
        </w:rPr>
        <w:t xml:space="preserve">Noutro ponto, como </w:t>
      </w:r>
      <w:r w:rsidR="000E65D9" w:rsidRPr="00253F25">
        <w:rPr>
          <w:rFonts w:ascii="Arial" w:hAnsi="Arial" w:cs="Arial"/>
          <w:color w:val="000000" w:themeColor="text1"/>
        </w:rPr>
        <w:t xml:space="preserve">como se trata de questão conexa e que reclama arguição de inconstitucionalidade, o objeto secundário deste Incidente de resolução de demandas repetitivas, é </w:t>
      </w:r>
      <w:r w:rsidR="000E65D9" w:rsidRPr="000F50AC">
        <w:rPr>
          <w:rFonts w:ascii="Arial" w:hAnsi="Arial" w:cs="Arial"/>
          <w:b/>
          <w:color w:val="000000" w:themeColor="text1"/>
        </w:rPr>
        <w:t xml:space="preserve">a declaração de inconstitucionalidade </w:t>
      </w:r>
      <w:r w:rsidR="00253F25" w:rsidRPr="000F50AC">
        <w:rPr>
          <w:rStyle w:val="paginascontent"/>
          <w:rFonts w:ascii="Arial" w:hAnsi="Arial" w:cs="Arial"/>
          <w:b/>
        </w:rPr>
        <w:t xml:space="preserve">do </w:t>
      </w:r>
      <w:r w:rsidR="003475A2" w:rsidRPr="000F50AC">
        <w:rPr>
          <w:rStyle w:val="paginascontent"/>
          <w:rFonts w:ascii="Arial" w:hAnsi="Arial" w:cs="Arial"/>
          <w:b/>
        </w:rPr>
        <w:t>art. 15</w:t>
      </w:r>
      <w:r w:rsidR="00253F25" w:rsidRPr="000F50AC">
        <w:rPr>
          <w:rStyle w:val="paginascontent"/>
          <w:rFonts w:ascii="Arial" w:hAnsi="Arial" w:cs="Arial"/>
          <w:b/>
        </w:rPr>
        <w:t>º, §</w:t>
      </w:r>
      <w:r w:rsidR="003475A2" w:rsidRPr="000F50AC">
        <w:rPr>
          <w:rStyle w:val="paginascontent"/>
          <w:rFonts w:ascii="Arial" w:hAnsi="Arial" w:cs="Arial"/>
          <w:b/>
        </w:rPr>
        <w:t xml:space="preserve">2º </w:t>
      </w:r>
      <w:r w:rsidR="00CA1220" w:rsidRPr="000F50AC">
        <w:rPr>
          <w:rStyle w:val="paginascontent"/>
          <w:rFonts w:ascii="Arial" w:hAnsi="Arial" w:cs="Arial"/>
          <w:b/>
        </w:rPr>
        <w:t>da</w:t>
      </w:r>
      <w:r w:rsidR="009C7614" w:rsidRPr="000F50AC">
        <w:rPr>
          <w:rStyle w:val="paginascontent"/>
          <w:rFonts w:ascii="Arial" w:hAnsi="Arial" w:cs="Arial"/>
          <w:b/>
        </w:rPr>
        <w:t xml:space="preserve"> Resolução 345/2015</w:t>
      </w:r>
      <w:r w:rsidR="009C7614">
        <w:rPr>
          <w:rStyle w:val="paginascontent"/>
          <w:rFonts w:ascii="Arial" w:hAnsi="Arial" w:cs="Arial"/>
        </w:rPr>
        <w:t xml:space="preserve"> ( Regimento Interno da TNU), alterado pela</w:t>
      </w:r>
      <w:r w:rsidR="00253F25" w:rsidRPr="00253F25">
        <w:rPr>
          <w:rStyle w:val="paginascontent"/>
          <w:rFonts w:ascii="Arial" w:hAnsi="Arial" w:cs="Arial"/>
        </w:rPr>
        <w:t xml:space="preserve"> Resolução 39</w:t>
      </w:r>
      <w:r w:rsidR="002F57EA">
        <w:rPr>
          <w:rStyle w:val="paginascontent"/>
          <w:rFonts w:ascii="Arial" w:hAnsi="Arial" w:cs="Arial"/>
        </w:rPr>
        <w:t>2</w:t>
      </w:r>
      <w:r w:rsidR="00253F25" w:rsidRPr="00253F25">
        <w:rPr>
          <w:rStyle w:val="paginascontent"/>
          <w:rFonts w:ascii="Arial" w:hAnsi="Arial" w:cs="Arial"/>
        </w:rPr>
        <w:t xml:space="preserve">/2016 do CJF que legisla, atipicamente, impondo a </w:t>
      </w:r>
      <w:r w:rsidR="00253F25" w:rsidRPr="00253F25">
        <w:rPr>
          <w:rStyle w:val="paginascontent"/>
          <w:rFonts w:ascii="Arial" w:hAnsi="Arial" w:cs="Arial"/>
          <w:b/>
        </w:rPr>
        <w:t>“irrecorribilidade da decisão da Turma Recursal que inadmite o Incidente de Uniformização da Jurisprudência</w:t>
      </w:r>
      <w:r w:rsidR="00253F25" w:rsidRPr="00253F25">
        <w:rPr>
          <w:rStyle w:val="paginascontent"/>
          <w:rFonts w:ascii="Arial" w:hAnsi="Arial" w:cs="Arial"/>
        </w:rPr>
        <w:t>”, ferindo, à evidência o</w:t>
      </w:r>
      <w:r w:rsidR="00253F25" w:rsidRPr="00253F25">
        <w:rPr>
          <w:rFonts w:ascii="Arial" w:hAnsi="Arial" w:cs="Arial"/>
          <w:b/>
        </w:rPr>
        <w:t xml:space="preserve"> princípio da legalidade</w:t>
      </w:r>
      <w:r w:rsidR="00253F25" w:rsidRPr="00253F25">
        <w:rPr>
          <w:rFonts w:ascii="Arial" w:hAnsi="Arial" w:cs="Arial"/>
        </w:rPr>
        <w:t>,</w:t>
      </w:r>
      <w:r w:rsidR="00253F25" w:rsidRPr="00253F25">
        <w:rPr>
          <w:rFonts w:ascii="Arial" w:hAnsi="Arial" w:cs="Arial"/>
          <w:b/>
        </w:rPr>
        <w:t xml:space="preserve"> </w:t>
      </w:r>
      <w:r w:rsidR="00253F25" w:rsidRPr="00253F25">
        <w:rPr>
          <w:rFonts w:ascii="Arial" w:hAnsi="Arial" w:cs="Arial"/>
        </w:rPr>
        <w:t>insculpido no art. 37, caput, da CF bem como por usurpa as atribuições do Poder Legislativo, em ato privativo da União, de Legislar sobre Direito processual, consoante disposição do art. 22, I, da CF/88.</w:t>
      </w:r>
    </w:p>
    <w:p w:rsidR="00F36855" w:rsidRDefault="00F36855" w:rsidP="006A3B47">
      <w:pPr>
        <w:autoSpaceDE w:val="0"/>
        <w:autoSpaceDN w:val="0"/>
        <w:adjustRightInd w:val="0"/>
        <w:ind w:left="33" w:firstLine="1101"/>
        <w:jc w:val="both"/>
        <w:rPr>
          <w:rFonts w:ascii="Arial" w:hAnsi="Arial" w:cs="Arial"/>
        </w:rPr>
      </w:pPr>
      <w:r>
        <w:rPr>
          <w:rFonts w:ascii="Arial" w:hAnsi="Arial" w:cs="Arial"/>
        </w:rPr>
        <w:t xml:space="preserve">A conexão do pedido de declaração incidental de inconstitucionalidade com o presente Incidente é evidente, já que se </w:t>
      </w:r>
      <w:proofErr w:type="gramStart"/>
      <w:r>
        <w:rPr>
          <w:rFonts w:ascii="Arial" w:hAnsi="Arial" w:cs="Arial"/>
        </w:rPr>
        <w:t>a decisão das Turmas Recursais que inadmitissem Incidentes de Uniformização da Jurisprudência à TNU fossem</w:t>
      </w:r>
      <w:proofErr w:type="gramEnd"/>
      <w:r>
        <w:rPr>
          <w:rFonts w:ascii="Arial" w:hAnsi="Arial" w:cs="Arial"/>
        </w:rPr>
        <w:t xml:space="preserve"> recorríveis ou reapreciáveis pela própria TNU, </w:t>
      </w:r>
      <w:r w:rsidR="00AB57A6">
        <w:rPr>
          <w:rFonts w:ascii="Arial" w:hAnsi="Arial" w:cs="Arial"/>
        </w:rPr>
        <w:t>o objeto deste Incidente se esvaziaria, já que a própria TNU poderia rever o “mal feito” da Turma Recursal.</w:t>
      </w:r>
    </w:p>
    <w:p w:rsidR="004614A4" w:rsidRDefault="00AB57A6" w:rsidP="006A3B47">
      <w:pPr>
        <w:ind w:firstLine="1101"/>
        <w:jc w:val="both"/>
        <w:rPr>
          <w:rFonts w:ascii="Arial" w:hAnsi="Arial" w:cs="Arial"/>
          <w:color w:val="000000"/>
          <w:shd w:val="clear" w:color="auto" w:fill="FFFFFF"/>
        </w:rPr>
      </w:pPr>
      <w:r>
        <w:rPr>
          <w:rFonts w:ascii="Arial" w:hAnsi="Arial" w:cs="Arial"/>
        </w:rPr>
        <w:t xml:space="preserve">Ainda, em matéria de inconstitucionalidade, </w:t>
      </w:r>
      <w:r w:rsidR="004614A4">
        <w:rPr>
          <w:rFonts w:ascii="Arial" w:hAnsi="Arial" w:cs="Arial"/>
        </w:rPr>
        <w:t>o</w:t>
      </w:r>
      <w:r w:rsidR="00471AEC" w:rsidRPr="00435E7E">
        <w:rPr>
          <w:rFonts w:ascii="Arial" w:hAnsi="Arial" w:cs="Arial"/>
          <w:color w:val="000000"/>
          <w:shd w:val="clear" w:color="auto" w:fill="FFFFFF"/>
        </w:rPr>
        <w:t xml:space="preserve"> Colegiado da Turma Nacional de Uniformização dos Juizados Especiais Federais (TNU) revogou, por unanimidade, na sessão de 22 de fevereiro de 2018, a </w:t>
      </w:r>
      <w:r w:rsidR="00471AEC" w:rsidRPr="00552E84">
        <w:rPr>
          <w:rFonts w:ascii="Arial" w:hAnsi="Arial" w:cs="Arial"/>
          <w:color w:val="000000"/>
          <w:u w:val="single"/>
          <w:shd w:val="clear" w:color="auto" w:fill="FFFFFF"/>
        </w:rPr>
        <w:t>Questão de Ordem n° 16</w:t>
      </w:r>
      <w:r w:rsidR="00471AEC" w:rsidRPr="00435E7E">
        <w:rPr>
          <w:rFonts w:ascii="Arial" w:hAnsi="Arial" w:cs="Arial"/>
          <w:color w:val="000000"/>
          <w:shd w:val="clear" w:color="auto" w:fill="FFFFFF"/>
        </w:rPr>
        <w:t>, que admitia reclamação contra decisão da turma recursal que recusasse adaptar acórdão à jurisprudência consolidada. A TNU entendeu que o enunciado estava em confronto ao inciso I, do artigo 46, do Regimento Interno da própria Turma.</w:t>
      </w:r>
      <w:r w:rsidR="004614A4">
        <w:rPr>
          <w:rFonts w:ascii="Arial" w:hAnsi="Arial" w:cs="Arial"/>
          <w:color w:val="000000"/>
          <w:shd w:val="clear" w:color="auto" w:fill="FFFFFF"/>
        </w:rPr>
        <w:t xml:space="preserve"> </w:t>
      </w:r>
    </w:p>
    <w:p w:rsidR="00471AEC" w:rsidRPr="00435E7E" w:rsidRDefault="00471AEC" w:rsidP="006A3B47">
      <w:pPr>
        <w:ind w:firstLine="1101"/>
        <w:jc w:val="both"/>
        <w:rPr>
          <w:rFonts w:ascii="Arial" w:hAnsi="Arial" w:cs="Arial"/>
          <w:color w:val="000000"/>
          <w:shd w:val="clear" w:color="auto" w:fill="FFFFFF"/>
        </w:rPr>
      </w:pPr>
      <w:r w:rsidRPr="00435E7E">
        <w:rPr>
          <w:rFonts w:ascii="Arial" w:hAnsi="Arial" w:cs="Arial"/>
          <w:color w:val="000000"/>
          <w:shd w:val="clear" w:color="auto" w:fill="FFFFFF"/>
        </w:rPr>
        <w:t>Rezam os arts. 46 e 47, e incisos do RITNU:</w:t>
      </w:r>
    </w:p>
    <w:p w:rsidR="00471AEC" w:rsidRPr="004614A4" w:rsidRDefault="00471AEC" w:rsidP="00656032">
      <w:pPr>
        <w:spacing w:line="240" w:lineRule="auto"/>
        <w:ind w:left="2410"/>
        <w:jc w:val="both"/>
        <w:rPr>
          <w:rFonts w:ascii="Arial" w:hAnsi="Arial" w:cs="Arial"/>
          <w:b/>
          <w:i/>
          <w:sz w:val="20"/>
          <w:szCs w:val="20"/>
        </w:rPr>
      </w:pPr>
      <w:r w:rsidRPr="004614A4">
        <w:rPr>
          <w:rFonts w:ascii="Arial" w:hAnsi="Arial" w:cs="Arial"/>
          <w:i/>
          <w:sz w:val="20"/>
          <w:szCs w:val="20"/>
        </w:rPr>
        <w:t xml:space="preserve">“Art. 46. </w:t>
      </w:r>
      <w:r w:rsidRPr="004614A4">
        <w:rPr>
          <w:rFonts w:ascii="Arial" w:hAnsi="Arial" w:cs="Arial"/>
          <w:b/>
          <w:i/>
          <w:sz w:val="20"/>
          <w:szCs w:val="20"/>
        </w:rPr>
        <w:t>Não cabe reclamação, sendo a inicial desde logo indeferida quando:</w:t>
      </w:r>
    </w:p>
    <w:p w:rsidR="00471AEC" w:rsidRPr="004614A4" w:rsidRDefault="00471AEC" w:rsidP="00656032">
      <w:pPr>
        <w:spacing w:line="240" w:lineRule="auto"/>
        <w:ind w:left="2410"/>
        <w:jc w:val="both"/>
        <w:rPr>
          <w:rFonts w:ascii="Arial" w:hAnsi="Arial" w:cs="Arial"/>
          <w:i/>
          <w:sz w:val="20"/>
          <w:szCs w:val="20"/>
        </w:rPr>
      </w:pPr>
      <w:r w:rsidRPr="004614A4">
        <w:rPr>
          <w:rFonts w:ascii="Arial" w:hAnsi="Arial" w:cs="Arial"/>
          <w:i/>
          <w:sz w:val="20"/>
          <w:szCs w:val="20"/>
        </w:rPr>
        <w:t xml:space="preserve"> I – </w:t>
      </w:r>
      <w:r w:rsidRPr="004614A4">
        <w:rPr>
          <w:rFonts w:ascii="Arial" w:hAnsi="Arial" w:cs="Arial"/>
          <w:i/>
          <w:sz w:val="20"/>
          <w:szCs w:val="20"/>
          <w:u w:val="single"/>
        </w:rPr>
        <w:t>fundamentada em decisões proferidas em outros autos</w:t>
      </w:r>
      <w:r w:rsidRPr="004614A4">
        <w:rPr>
          <w:rFonts w:ascii="Arial" w:hAnsi="Arial" w:cs="Arial"/>
          <w:i/>
          <w:sz w:val="20"/>
          <w:szCs w:val="20"/>
        </w:rPr>
        <w:t xml:space="preserve">; </w:t>
      </w:r>
    </w:p>
    <w:p w:rsidR="00471AEC" w:rsidRPr="004614A4" w:rsidRDefault="00471AEC" w:rsidP="00656032">
      <w:pPr>
        <w:spacing w:line="240" w:lineRule="auto"/>
        <w:ind w:left="2410"/>
        <w:jc w:val="both"/>
        <w:rPr>
          <w:rFonts w:ascii="Arial" w:hAnsi="Arial" w:cs="Arial"/>
          <w:i/>
          <w:sz w:val="20"/>
          <w:szCs w:val="20"/>
        </w:rPr>
      </w:pPr>
      <w:r w:rsidRPr="004614A4">
        <w:rPr>
          <w:rFonts w:ascii="Arial" w:hAnsi="Arial" w:cs="Arial"/>
          <w:i/>
          <w:sz w:val="20"/>
          <w:szCs w:val="20"/>
        </w:rPr>
        <w:t xml:space="preserve">II – </w:t>
      </w:r>
      <w:r w:rsidRPr="004614A4">
        <w:rPr>
          <w:rFonts w:ascii="Arial" w:hAnsi="Arial" w:cs="Arial"/>
          <w:i/>
          <w:sz w:val="20"/>
          <w:szCs w:val="20"/>
          <w:u w:val="single"/>
        </w:rPr>
        <w:t>fundamentada em negativa de admissibilidade de incidente nacional por parte do juiz responsável pela admissibilidade</w:t>
      </w:r>
      <w:r w:rsidRPr="004614A4">
        <w:rPr>
          <w:rFonts w:ascii="Arial" w:hAnsi="Arial" w:cs="Arial"/>
          <w:i/>
          <w:sz w:val="20"/>
          <w:szCs w:val="20"/>
        </w:rPr>
        <w:t>;</w:t>
      </w:r>
    </w:p>
    <w:p w:rsidR="00AB57A6" w:rsidRDefault="00AB57A6" w:rsidP="00253F25">
      <w:pPr>
        <w:autoSpaceDE w:val="0"/>
        <w:autoSpaceDN w:val="0"/>
        <w:adjustRightInd w:val="0"/>
        <w:ind w:left="33" w:firstLine="709"/>
        <w:jc w:val="both"/>
        <w:rPr>
          <w:rFonts w:ascii="Arial" w:hAnsi="Arial" w:cs="Arial"/>
        </w:rPr>
      </w:pPr>
    </w:p>
    <w:p w:rsidR="00AB57A6" w:rsidRPr="00FE11A1" w:rsidRDefault="00FE11A1" w:rsidP="00FE11A1">
      <w:pPr>
        <w:autoSpaceDE w:val="0"/>
        <w:autoSpaceDN w:val="0"/>
        <w:adjustRightInd w:val="0"/>
        <w:spacing w:line="240" w:lineRule="auto"/>
        <w:ind w:left="2410"/>
        <w:jc w:val="both"/>
        <w:rPr>
          <w:rFonts w:ascii="Arial" w:hAnsi="Arial" w:cs="Arial"/>
          <w:i/>
          <w:sz w:val="20"/>
          <w:szCs w:val="20"/>
        </w:rPr>
      </w:pPr>
      <w:r w:rsidRPr="00FE11A1">
        <w:rPr>
          <w:rFonts w:ascii="Arial" w:hAnsi="Arial" w:cs="Arial"/>
          <w:i/>
          <w:sz w:val="20"/>
          <w:szCs w:val="20"/>
        </w:rPr>
        <w:t>“Art. 47. Não cabe reclamação fundada em descumprimento de decisão proferida pela Turma Nacional de Uniformização em outro processo”</w:t>
      </w:r>
    </w:p>
    <w:p w:rsidR="00FE11A1" w:rsidRPr="00FE11A1" w:rsidRDefault="00FE11A1" w:rsidP="00FE11A1">
      <w:pPr>
        <w:autoSpaceDE w:val="0"/>
        <w:autoSpaceDN w:val="0"/>
        <w:adjustRightInd w:val="0"/>
        <w:spacing w:line="240" w:lineRule="auto"/>
        <w:ind w:left="2410"/>
        <w:jc w:val="both"/>
        <w:rPr>
          <w:rFonts w:ascii="Arial" w:hAnsi="Arial" w:cs="Arial"/>
          <w:i/>
        </w:rPr>
      </w:pPr>
    </w:p>
    <w:p w:rsidR="00552E84" w:rsidRPr="00C56DB3" w:rsidRDefault="00552E84" w:rsidP="00552E84">
      <w:pPr>
        <w:ind w:firstLine="1134"/>
        <w:jc w:val="both"/>
        <w:rPr>
          <w:rFonts w:ascii="Arial" w:hAnsi="Arial" w:cs="Arial"/>
        </w:rPr>
      </w:pPr>
      <w:r w:rsidRPr="00D2288C">
        <w:rPr>
          <w:rFonts w:ascii="Arial" w:hAnsi="Arial" w:cs="Arial"/>
          <w:b/>
        </w:rPr>
        <w:t xml:space="preserve">Como se vê, além da questão inconstitucional noutro parágrafo </w:t>
      </w:r>
      <w:r w:rsidR="005E3253" w:rsidRPr="00D2288C">
        <w:rPr>
          <w:rFonts w:ascii="Arial" w:hAnsi="Arial" w:cs="Arial"/>
          <w:b/>
        </w:rPr>
        <w:t>levantada, o</w:t>
      </w:r>
      <w:r w:rsidRPr="00D2288C">
        <w:rPr>
          <w:rFonts w:ascii="Arial" w:hAnsi="Arial" w:cs="Arial"/>
          <w:b/>
        </w:rPr>
        <w:t xml:space="preserve"> CJF legisla atipicamente, restringindo mais do que o Legislador</w:t>
      </w:r>
      <w:r w:rsidRPr="00C56DB3">
        <w:rPr>
          <w:rFonts w:ascii="Arial" w:hAnsi="Arial" w:cs="Arial"/>
        </w:rPr>
        <w:t xml:space="preserve"> (competente para legislar sobre Direito Processual) quis restringir. Com isso, o CJF </w:t>
      </w:r>
      <w:r w:rsidRPr="00C56DB3">
        <w:rPr>
          <w:rFonts w:ascii="Arial" w:hAnsi="Arial" w:cs="Arial"/>
        </w:rPr>
        <w:lastRenderedPageBreak/>
        <w:t>usurpa a competência Legislativa constitucional da União, ferindo de morte, o art. 22 da CF/88, que diz:</w:t>
      </w:r>
    </w:p>
    <w:p w:rsidR="00552E84" w:rsidRPr="00C56DB3" w:rsidRDefault="00552E84" w:rsidP="005E3253">
      <w:pPr>
        <w:pStyle w:val="NormalWeb"/>
        <w:shd w:val="clear" w:color="auto" w:fill="FFFFFF"/>
        <w:spacing w:before="0" w:beforeAutospacing="0" w:after="0" w:afterAutospacing="0" w:line="240" w:lineRule="auto"/>
        <w:ind w:left="2410"/>
        <w:jc w:val="both"/>
        <w:rPr>
          <w:i/>
          <w:sz w:val="20"/>
          <w:szCs w:val="20"/>
        </w:rPr>
      </w:pPr>
      <w:r>
        <w:rPr>
          <w:rFonts w:ascii="Arial" w:hAnsi="Arial" w:cs="Arial"/>
          <w:i/>
          <w:sz w:val="20"/>
          <w:szCs w:val="20"/>
        </w:rPr>
        <w:t>“</w:t>
      </w:r>
      <w:r w:rsidRPr="00C56DB3">
        <w:rPr>
          <w:rFonts w:ascii="Arial" w:hAnsi="Arial" w:cs="Arial"/>
          <w:i/>
          <w:sz w:val="20"/>
          <w:szCs w:val="20"/>
        </w:rPr>
        <w:t xml:space="preserve">Art. 22. Compete </w:t>
      </w:r>
      <w:r w:rsidRPr="00747018">
        <w:rPr>
          <w:rFonts w:ascii="Arial" w:hAnsi="Arial" w:cs="Arial"/>
          <w:b/>
          <w:i/>
          <w:sz w:val="20"/>
          <w:szCs w:val="20"/>
        </w:rPr>
        <w:t>privativamente à União</w:t>
      </w:r>
      <w:r w:rsidRPr="00C56DB3">
        <w:rPr>
          <w:rFonts w:ascii="Arial" w:hAnsi="Arial" w:cs="Arial"/>
          <w:i/>
          <w:sz w:val="20"/>
          <w:szCs w:val="20"/>
        </w:rPr>
        <w:t xml:space="preserve"> legislar sobre:</w:t>
      </w:r>
    </w:p>
    <w:p w:rsidR="00552E84" w:rsidRPr="00C56DB3" w:rsidRDefault="00552E84" w:rsidP="005E3253">
      <w:pPr>
        <w:pStyle w:val="NormalWeb"/>
        <w:shd w:val="clear" w:color="auto" w:fill="FFFFFF"/>
        <w:spacing w:before="0" w:beforeAutospacing="0" w:after="0" w:afterAutospacing="0" w:line="240" w:lineRule="auto"/>
        <w:ind w:left="2410"/>
        <w:jc w:val="both"/>
        <w:rPr>
          <w:i/>
          <w:sz w:val="20"/>
          <w:szCs w:val="20"/>
        </w:rPr>
      </w:pPr>
      <w:r w:rsidRPr="00C56DB3">
        <w:rPr>
          <w:rFonts w:ascii="Arial" w:hAnsi="Arial" w:cs="Arial"/>
          <w:i/>
          <w:sz w:val="20"/>
          <w:szCs w:val="20"/>
        </w:rPr>
        <w:t xml:space="preserve">I - </w:t>
      </w:r>
      <w:r w:rsidRPr="00747018">
        <w:rPr>
          <w:rFonts w:ascii="Arial" w:hAnsi="Arial" w:cs="Arial"/>
          <w:b/>
          <w:i/>
          <w:sz w:val="20"/>
          <w:szCs w:val="20"/>
          <w:u w:val="single"/>
        </w:rPr>
        <w:t>direito</w:t>
      </w:r>
      <w:r w:rsidRPr="00C56DB3">
        <w:rPr>
          <w:rFonts w:ascii="Arial" w:hAnsi="Arial" w:cs="Arial"/>
          <w:i/>
          <w:sz w:val="20"/>
          <w:szCs w:val="20"/>
        </w:rPr>
        <w:t xml:space="preserve"> civil, comercial, penal, </w:t>
      </w:r>
      <w:r w:rsidRPr="00747018">
        <w:rPr>
          <w:rFonts w:ascii="Arial" w:hAnsi="Arial" w:cs="Arial"/>
          <w:b/>
          <w:i/>
          <w:sz w:val="20"/>
          <w:szCs w:val="20"/>
          <w:u w:val="single"/>
        </w:rPr>
        <w:t>processual,</w:t>
      </w:r>
      <w:r w:rsidRPr="00C56DB3">
        <w:rPr>
          <w:rFonts w:ascii="Arial" w:hAnsi="Arial" w:cs="Arial"/>
          <w:i/>
          <w:sz w:val="20"/>
          <w:szCs w:val="20"/>
        </w:rPr>
        <w:t xml:space="preserve"> eleitoral, agrário, marítimo, aeronáutico, espacial e do trabalho;</w:t>
      </w:r>
      <w:r>
        <w:rPr>
          <w:rFonts w:ascii="Arial" w:hAnsi="Arial" w:cs="Arial"/>
          <w:i/>
          <w:sz w:val="20"/>
          <w:szCs w:val="20"/>
        </w:rPr>
        <w:t>”</w:t>
      </w:r>
    </w:p>
    <w:p w:rsidR="00AF2ECA" w:rsidRDefault="00AF2ECA" w:rsidP="004B50A3">
      <w:pPr>
        <w:tabs>
          <w:tab w:val="left" w:pos="720"/>
        </w:tabs>
        <w:ind w:left="360"/>
        <w:jc w:val="both"/>
        <w:rPr>
          <w:rFonts w:ascii="Arial" w:eastAsia="HG Mincho Light J" w:hAnsi="Arial" w:cs="Arial"/>
          <w:color w:val="000000"/>
        </w:rPr>
      </w:pPr>
    </w:p>
    <w:p w:rsidR="00FA590F" w:rsidRDefault="005E3253" w:rsidP="00BF2C46">
      <w:pPr>
        <w:autoSpaceDE w:val="0"/>
        <w:autoSpaceDN w:val="0"/>
        <w:adjustRightInd w:val="0"/>
        <w:ind w:left="33" w:firstLine="1101"/>
        <w:jc w:val="both"/>
        <w:rPr>
          <w:rFonts w:ascii="Arial" w:hAnsi="Arial" w:cs="Arial"/>
        </w:rPr>
      </w:pPr>
      <w:r>
        <w:rPr>
          <w:rFonts w:ascii="Arial" w:eastAsia="HG Mincho Light J" w:hAnsi="Arial" w:cs="Arial"/>
          <w:color w:val="000000"/>
        </w:rPr>
        <w:t>Aqui, portanto, mais um item a ser declarado incidentalmente inconstitucional. Tal dispositivo também é diretamente cone</w:t>
      </w:r>
      <w:r w:rsidR="00FA590F">
        <w:rPr>
          <w:rFonts w:ascii="Arial" w:eastAsia="HG Mincho Light J" w:hAnsi="Arial" w:cs="Arial"/>
          <w:color w:val="000000"/>
        </w:rPr>
        <w:t xml:space="preserve">xo com o objeto deste Incidente, </w:t>
      </w:r>
      <w:r>
        <w:rPr>
          <w:rFonts w:ascii="Arial" w:eastAsia="HG Mincho Light J" w:hAnsi="Arial" w:cs="Arial"/>
          <w:color w:val="000000"/>
        </w:rPr>
        <w:t xml:space="preserve"> </w:t>
      </w:r>
      <w:r w:rsidR="00FA590F">
        <w:rPr>
          <w:rFonts w:ascii="Arial" w:hAnsi="Arial" w:cs="Arial"/>
        </w:rPr>
        <w:t xml:space="preserve">já que se a Turma Recursal de Juiz de Fora tivesse inadmitido o </w:t>
      </w:r>
      <w:r w:rsidR="00FF1C36">
        <w:rPr>
          <w:rFonts w:ascii="Arial" w:hAnsi="Arial" w:cs="Arial"/>
        </w:rPr>
        <w:t xml:space="preserve">Incidente de Uniformização da Jurisprudência interposto e se pudesse fazer a “ reclamação” à TNU para manter a autoridade dos seus julgados ( de forma abstrata como ocorre nas reclamações ao STF e até mesmo no caso de Reclamação em IRDR), </w:t>
      </w:r>
      <w:r w:rsidR="00FA590F">
        <w:rPr>
          <w:rFonts w:ascii="Arial" w:hAnsi="Arial" w:cs="Arial"/>
        </w:rPr>
        <w:t xml:space="preserve"> o objeto deste Incidente se esvaziaria, já que a própria TNU poderia rever o “mal feito” da Turma Recursal</w:t>
      </w:r>
      <w:r w:rsidR="00F541EA">
        <w:rPr>
          <w:rFonts w:ascii="Arial" w:hAnsi="Arial" w:cs="Arial"/>
        </w:rPr>
        <w:t>, ora apresentado</w:t>
      </w:r>
      <w:r w:rsidR="00FA590F">
        <w:rPr>
          <w:rFonts w:ascii="Arial" w:hAnsi="Arial" w:cs="Arial"/>
        </w:rPr>
        <w:t>.</w:t>
      </w:r>
    </w:p>
    <w:p w:rsidR="0059149D" w:rsidRDefault="0059149D" w:rsidP="00DC0908">
      <w:pPr>
        <w:tabs>
          <w:tab w:val="left" w:pos="720"/>
        </w:tabs>
        <w:spacing w:line="240" w:lineRule="auto"/>
        <w:jc w:val="both"/>
        <w:rPr>
          <w:rFonts w:ascii="Arial" w:eastAsia="HG Mincho Light J" w:hAnsi="Arial" w:cs="Arial"/>
          <w:color w:val="000000"/>
        </w:rPr>
      </w:pPr>
    </w:p>
    <w:p w:rsidR="0059479B" w:rsidRPr="00267442" w:rsidRDefault="00F541EA" w:rsidP="00DC0908">
      <w:pPr>
        <w:pStyle w:val="PargrafodaLista"/>
        <w:numPr>
          <w:ilvl w:val="1"/>
          <w:numId w:val="21"/>
        </w:numPr>
        <w:spacing w:line="240" w:lineRule="auto"/>
        <w:jc w:val="both"/>
        <w:rPr>
          <w:rFonts w:ascii="Arial" w:hAnsi="Arial" w:cs="Arial"/>
          <w:b/>
        </w:rPr>
      </w:pPr>
      <w:r w:rsidRPr="00F541EA">
        <w:rPr>
          <w:rFonts w:ascii="Arial" w:hAnsi="Arial" w:cs="Arial"/>
          <w:b/>
        </w:rPr>
        <w:t>Da efetiva</w:t>
      </w:r>
      <w:r w:rsidRPr="00F541EA">
        <w:rPr>
          <w:rFonts w:ascii="Arial" w:hAnsi="Arial" w:cs="Arial"/>
        </w:rPr>
        <w:t xml:space="preserve"> </w:t>
      </w:r>
      <w:r w:rsidRPr="00F541EA">
        <w:rPr>
          <w:rFonts w:ascii="Arial" w:hAnsi="Arial" w:cs="Arial"/>
          <w:b/>
        </w:rPr>
        <w:t>repetição de processos que contenham controvérsia sobre a</w:t>
      </w:r>
      <w:r w:rsidR="00DA2724">
        <w:rPr>
          <w:rFonts w:ascii="Arial" w:hAnsi="Arial" w:cs="Arial"/>
          <w:b/>
        </w:rPr>
        <w:t>S</w:t>
      </w:r>
      <w:r w:rsidRPr="00F541EA">
        <w:rPr>
          <w:rFonts w:ascii="Arial" w:hAnsi="Arial" w:cs="Arial"/>
          <w:b/>
        </w:rPr>
        <w:t xml:space="preserve"> mesma</w:t>
      </w:r>
      <w:r w:rsidR="00DA2724">
        <w:rPr>
          <w:rFonts w:ascii="Arial" w:hAnsi="Arial" w:cs="Arial"/>
          <w:b/>
        </w:rPr>
        <w:t xml:space="preserve">s questões </w:t>
      </w:r>
      <w:r w:rsidRPr="00F541EA">
        <w:rPr>
          <w:rFonts w:ascii="Arial" w:hAnsi="Arial" w:cs="Arial"/>
          <w:b/>
        </w:rPr>
        <w:t xml:space="preserve">unicamente de </w:t>
      </w:r>
      <w:r w:rsidR="00A36DCA" w:rsidRPr="00F541EA">
        <w:rPr>
          <w:rFonts w:ascii="Arial" w:hAnsi="Arial" w:cs="Arial"/>
          <w:b/>
        </w:rPr>
        <w:t>direito</w:t>
      </w:r>
      <w:r w:rsidR="00A36DCA">
        <w:rPr>
          <w:rFonts w:ascii="Arial" w:hAnsi="Arial" w:cs="Arial"/>
          <w:b/>
        </w:rPr>
        <w:t xml:space="preserve"> e</w:t>
      </w:r>
      <w:r w:rsidR="0059479B">
        <w:rPr>
          <w:rFonts w:ascii="Arial" w:hAnsi="Arial" w:cs="Arial"/>
          <w:b/>
        </w:rPr>
        <w:t xml:space="preserve"> do R</w:t>
      </w:r>
      <w:r w:rsidR="0059479B" w:rsidRPr="00267442">
        <w:rPr>
          <w:rFonts w:ascii="Arial" w:hAnsi="Arial" w:cs="Arial"/>
          <w:b/>
        </w:rPr>
        <w:t>isco de ofensa à isonomia e à segurança jurídica</w:t>
      </w:r>
    </w:p>
    <w:p w:rsidR="00F541EA" w:rsidRPr="00A36DCA" w:rsidRDefault="00F541EA" w:rsidP="00A36DCA">
      <w:pPr>
        <w:tabs>
          <w:tab w:val="left" w:pos="720"/>
        </w:tabs>
        <w:spacing w:line="240" w:lineRule="auto"/>
        <w:jc w:val="both"/>
        <w:rPr>
          <w:rFonts w:ascii="Arial" w:eastAsia="HG Mincho Light J" w:hAnsi="Arial" w:cs="Arial"/>
          <w:color w:val="000000"/>
        </w:rPr>
      </w:pPr>
    </w:p>
    <w:p w:rsidR="004B50A3" w:rsidRDefault="004B50A3" w:rsidP="00F541EA">
      <w:pPr>
        <w:tabs>
          <w:tab w:val="left" w:pos="720"/>
        </w:tabs>
        <w:jc w:val="both"/>
        <w:rPr>
          <w:rFonts w:ascii="Arial" w:eastAsia="HG Mincho Light J" w:hAnsi="Arial" w:cs="Arial"/>
          <w:b/>
          <w:color w:val="000000"/>
        </w:rPr>
      </w:pPr>
    </w:p>
    <w:p w:rsidR="00BF0E93" w:rsidRDefault="003E51EF" w:rsidP="008D238E">
      <w:pPr>
        <w:tabs>
          <w:tab w:val="left" w:pos="720"/>
        </w:tabs>
        <w:spacing w:line="240" w:lineRule="auto"/>
        <w:jc w:val="both"/>
        <w:rPr>
          <w:rFonts w:ascii="Arial" w:hAnsi="Arial" w:cs="Arial"/>
          <w:b/>
          <w:color w:val="222222"/>
          <w:shd w:val="clear" w:color="auto" w:fill="FCFDFD"/>
        </w:rPr>
      </w:pPr>
      <w:r>
        <w:rPr>
          <w:rFonts w:ascii="Arial" w:hAnsi="Arial" w:cs="Arial"/>
          <w:b/>
          <w:color w:val="222222"/>
          <w:shd w:val="clear" w:color="auto" w:fill="FCFDFD"/>
        </w:rPr>
        <w:t xml:space="preserve">1281-52.2013.4.01.3821 </w:t>
      </w:r>
      <w:r w:rsidRPr="003E51EF">
        <w:rPr>
          <w:rFonts w:ascii="Arial" w:hAnsi="Arial" w:cs="Arial"/>
          <w:color w:val="222222"/>
          <w:shd w:val="clear" w:color="auto" w:fill="FCFDFD"/>
        </w:rPr>
        <w:t>(Decisão que aplicou a Sumula 149 do STJ, inadvertidamente, e, deixando de receber o recurso,</w:t>
      </w:r>
      <w:r w:rsidR="004435CE">
        <w:rPr>
          <w:rFonts w:ascii="Arial" w:hAnsi="Arial" w:cs="Arial"/>
          <w:color w:val="222222"/>
          <w:shd w:val="clear" w:color="auto" w:fill="FCFDFD"/>
        </w:rPr>
        <w:t xml:space="preserve"> sem possibilidade de recurso, fazendo a</w:t>
      </w:r>
      <w:r w:rsidRPr="003E51EF">
        <w:rPr>
          <w:rFonts w:ascii="Arial" w:hAnsi="Arial" w:cs="Arial"/>
          <w:color w:val="222222"/>
          <w:shd w:val="clear" w:color="auto" w:fill="FCFDFD"/>
        </w:rPr>
        <w:t xml:space="preserve"> coisa julgada)</w:t>
      </w:r>
      <w:r>
        <w:rPr>
          <w:rFonts w:ascii="Arial" w:hAnsi="Arial" w:cs="Arial"/>
          <w:b/>
          <w:color w:val="222222"/>
          <w:shd w:val="clear" w:color="auto" w:fill="FCFDFD"/>
        </w:rPr>
        <w:t xml:space="preserve"> </w:t>
      </w:r>
    </w:p>
    <w:p w:rsidR="003E51EF" w:rsidRDefault="003E51EF" w:rsidP="008D238E">
      <w:pPr>
        <w:tabs>
          <w:tab w:val="left" w:pos="720"/>
        </w:tabs>
        <w:spacing w:line="240" w:lineRule="auto"/>
        <w:jc w:val="both"/>
        <w:rPr>
          <w:rFonts w:ascii="Arial" w:hAnsi="Arial" w:cs="Arial"/>
          <w:b/>
          <w:color w:val="222222"/>
          <w:shd w:val="clear" w:color="auto" w:fill="FCFDFD"/>
        </w:rPr>
      </w:pPr>
    </w:p>
    <w:p w:rsidR="004435CE" w:rsidRDefault="004435CE" w:rsidP="008D238E">
      <w:pPr>
        <w:spacing w:line="240" w:lineRule="auto"/>
        <w:jc w:val="both"/>
        <w:rPr>
          <w:rFonts w:ascii="Arial" w:hAnsi="Arial" w:cs="Arial"/>
          <w:color w:val="222222"/>
          <w:shd w:val="clear" w:color="auto" w:fill="FCFDFD"/>
        </w:rPr>
      </w:pPr>
      <w:r>
        <w:rPr>
          <w:rFonts w:ascii="Arial" w:hAnsi="Arial" w:cs="Arial"/>
          <w:b/>
          <w:color w:val="222222"/>
          <w:shd w:val="clear" w:color="auto" w:fill="FCFDFD"/>
        </w:rPr>
        <w:t xml:space="preserve">2746-33.2012.4.01.3821 </w:t>
      </w:r>
      <w:r w:rsidRPr="003E51EF">
        <w:rPr>
          <w:rFonts w:ascii="Arial" w:hAnsi="Arial" w:cs="Arial"/>
          <w:color w:val="222222"/>
          <w:shd w:val="clear" w:color="auto" w:fill="FCFDFD"/>
        </w:rPr>
        <w:t xml:space="preserve">(Decisão que aplicou a Sumula </w:t>
      </w:r>
      <w:r w:rsidR="0059479B">
        <w:rPr>
          <w:rFonts w:ascii="Arial" w:hAnsi="Arial" w:cs="Arial"/>
          <w:color w:val="222222"/>
          <w:shd w:val="clear" w:color="auto" w:fill="FCFDFD"/>
        </w:rPr>
        <w:t>42 da TNU</w:t>
      </w:r>
      <w:r w:rsidRPr="003E51EF">
        <w:rPr>
          <w:rFonts w:ascii="Arial" w:hAnsi="Arial" w:cs="Arial"/>
          <w:color w:val="222222"/>
          <w:shd w:val="clear" w:color="auto" w:fill="FCFDFD"/>
        </w:rPr>
        <w:t xml:space="preserve">, </w:t>
      </w:r>
      <w:r w:rsidR="0059479B" w:rsidRPr="003E51EF">
        <w:rPr>
          <w:rFonts w:ascii="Arial" w:hAnsi="Arial" w:cs="Arial"/>
          <w:color w:val="222222"/>
          <w:shd w:val="clear" w:color="auto" w:fill="FCFDFD"/>
        </w:rPr>
        <w:t xml:space="preserve">inadvertidamente, </w:t>
      </w:r>
      <w:r w:rsidR="0059479B">
        <w:rPr>
          <w:rFonts w:ascii="Arial" w:hAnsi="Arial" w:cs="Arial"/>
          <w:color w:val="222222"/>
          <w:shd w:val="clear" w:color="auto" w:fill="FCFDFD"/>
        </w:rPr>
        <w:t xml:space="preserve">porquanto não se tratava de reexame de provas, mas de simples valoração daquelas </w:t>
      </w:r>
      <w:r w:rsidRPr="003E51EF">
        <w:rPr>
          <w:rFonts w:ascii="Arial" w:hAnsi="Arial" w:cs="Arial"/>
          <w:color w:val="222222"/>
          <w:shd w:val="clear" w:color="auto" w:fill="FCFDFD"/>
        </w:rPr>
        <w:t xml:space="preserve">e, deixando de receber o </w:t>
      </w:r>
      <w:r>
        <w:rPr>
          <w:rFonts w:ascii="Arial" w:hAnsi="Arial" w:cs="Arial"/>
          <w:color w:val="222222"/>
          <w:shd w:val="clear" w:color="auto" w:fill="FCFDFD"/>
        </w:rPr>
        <w:t>incidente, sem possibilidade de recurso, fazendo a coisa julgada</w:t>
      </w:r>
      <w:r w:rsidR="00686A37">
        <w:rPr>
          <w:rFonts w:ascii="Arial" w:hAnsi="Arial" w:cs="Arial"/>
          <w:color w:val="222222"/>
          <w:shd w:val="clear" w:color="auto" w:fill="FCFDFD"/>
        </w:rPr>
        <w:t xml:space="preserve">. A decisão que </w:t>
      </w:r>
      <w:proofErr w:type="gramStart"/>
      <w:r w:rsidR="00686A37">
        <w:rPr>
          <w:rFonts w:ascii="Arial" w:hAnsi="Arial" w:cs="Arial"/>
          <w:color w:val="222222"/>
          <w:shd w:val="clear" w:color="auto" w:fill="FCFDFD"/>
        </w:rPr>
        <w:t>segue ,</w:t>
      </w:r>
      <w:proofErr w:type="gramEnd"/>
      <w:r w:rsidR="00686A37">
        <w:rPr>
          <w:rFonts w:ascii="Arial" w:hAnsi="Arial" w:cs="Arial"/>
          <w:color w:val="222222"/>
          <w:shd w:val="clear" w:color="auto" w:fill="FCFDFD"/>
        </w:rPr>
        <w:t xml:space="preserve"> em anexo- Recurso de Sentença-, também demonstra que a Turma Recursal aplica súmula que não se adequa ao caso paradigma, já que foram citados precedentes em PEDILEF que ampliam a eficácia temporal de início de prova material corroborada por prova testemunhal </w:t>
      </w:r>
      <w:r w:rsidRPr="003E51EF">
        <w:rPr>
          <w:rFonts w:ascii="Arial" w:hAnsi="Arial" w:cs="Arial"/>
          <w:color w:val="222222"/>
          <w:shd w:val="clear" w:color="auto" w:fill="FCFDFD"/>
        </w:rPr>
        <w:t>)</w:t>
      </w:r>
    </w:p>
    <w:p w:rsidR="001779E2" w:rsidRDefault="001779E2" w:rsidP="008D238E">
      <w:pPr>
        <w:spacing w:line="240" w:lineRule="auto"/>
        <w:jc w:val="both"/>
        <w:rPr>
          <w:rFonts w:ascii="Arial" w:hAnsi="Arial" w:cs="Arial"/>
          <w:color w:val="222222"/>
          <w:shd w:val="clear" w:color="auto" w:fill="FCFDFD"/>
        </w:rPr>
      </w:pPr>
    </w:p>
    <w:p w:rsidR="001779E2" w:rsidRDefault="001779E2" w:rsidP="00DC0908">
      <w:pPr>
        <w:spacing w:line="240" w:lineRule="auto"/>
        <w:jc w:val="both"/>
        <w:rPr>
          <w:rFonts w:ascii="Arial" w:hAnsi="Arial" w:cs="Arial"/>
          <w:color w:val="222222"/>
          <w:shd w:val="clear" w:color="auto" w:fill="FCFDFD"/>
        </w:rPr>
      </w:pPr>
      <w:r>
        <w:rPr>
          <w:rFonts w:ascii="Arial" w:hAnsi="Arial" w:cs="Arial"/>
          <w:b/>
          <w:color w:val="222222"/>
          <w:shd w:val="clear" w:color="auto" w:fill="FCFDFD"/>
        </w:rPr>
        <w:t xml:space="preserve">1871-63.2012.4.01.3821 </w:t>
      </w:r>
      <w:r>
        <w:rPr>
          <w:rFonts w:ascii="Arial" w:hAnsi="Arial" w:cs="Arial"/>
          <w:color w:val="222222"/>
          <w:shd w:val="clear" w:color="auto" w:fill="FCFDFD"/>
        </w:rPr>
        <w:t xml:space="preserve">(Decisão que inadmite Incidente de Uniformização da Jurisprudência. Começou </w:t>
      </w:r>
      <w:r w:rsidR="00BB4870">
        <w:rPr>
          <w:rFonts w:ascii="Arial" w:hAnsi="Arial" w:cs="Arial"/>
          <w:color w:val="222222"/>
          <w:shd w:val="clear" w:color="auto" w:fill="FCFDFD"/>
        </w:rPr>
        <w:t>inadmitindo</w:t>
      </w:r>
      <w:r>
        <w:rPr>
          <w:rFonts w:ascii="Arial" w:hAnsi="Arial" w:cs="Arial"/>
          <w:color w:val="222222"/>
          <w:shd w:val="clear" w:color="auto" w:fill="FCFDFD"/>
        </w:rPr>
        <w:t xml:space="preserve"> recurso inominado com base na sumula 149 do STJ; agora, inadmite incidente com base na Sumula 42 da TNU, ambas, inadvertidamente, porquanto existia início de prova material (não se aplicava a súmula 149 do STJ) não se tratava de reexame de provas (não se aplica a sumula 42 da TNU</w:t>
      </w:r>
      <w:proofErr w:type="gramStart"/>
      <w:r>
        <w:rPr>
          <w:rFonts w:ascii="Arial" w:hAnsi="Arial" w:cs="Arial"/>
          <w:color w:val="222222"/>
          <w:shd w:val="clear" w:color="auto" w:fill="FCFDFD"/>
        </w:rPr>
        <w:t>) ,</w:t>
      </w:r>
      <w:proofErr w:type="gramEnd"/>
      <w:r>
        <w:rPr>
          <w:rFonts w:ascii="Arial" w:hAnsi="Arial" w:cs="Arial"/>
          <w:color w:val="222222"/>
          <w:shd w:val="clear" w:color="auto" w:fill="FCFDFD"/>
        </w:rPr>
        <w:t xml:space="preserve"> mas de simples valoraç</w:t>
      </w:r>
      <w:r w:rsidR="00005AAA">
        <w:rPr>
          <w:rFonts w:ascii="Arial" w:hAnsi="Arial" w:cs="Arial"/>
          <w:color w:val="222222"/>
          <w:shd w:val="clear" w:color="auto" w:fill="FCFDFD"/>
        </w:rPr>
        <w:t>ão daquelas. Nesse caso, o processo está em curso, tendo em vista que foi interposto da decisão “irrecorrível” embargos declaratórios com efeitos Presquestionadores para possível RE ao STF;</w:t>
      </w:r>
      <w:r w:rsidR="005C551F">
        <w:rPr>
          <w:rFonts w:ascii="Arial" w:hAnsi="Arial" w:cs="Arial"/>
          <w:color w:val="222222"/>
          <w:shd w:val="clear" w:color="auto" w:fill="FCFDFD"/>
        </w:rPr>
        <w:t>)</w:t>
      </w:r>
    </w:p>
    <w:p w:rsidR="00005AAA" w:rsidRDefault="00005AAA" w:rsidP="001779E2">
      <w:pPr>
        <w:jc w:val="both"/>
        <w:rPr>
          <w:rFonts w:ascii="Arial" w:hAnsi="Arial" w:cs="Arial"/>
          <w:color w:val="222222"/>
          <w:shd w:val="clear" w:color="auto" w:fill="FCFDFD"/>
        </w:rPr>
      </w:pPr>
    </w:p>
    <w:p w:rsidR="005C551F" w:rsidRDefault="005C551F" w:rsidP="00DC0908">
      <w:pPr>
        <w:spacing w:line="240" w:lineRule="auto"/>
        <w:jc w:val="both"/>
        <w:rPr>
          <w:rFonts w:ascii="Arial" w:hAnsi="Arial" w:cs="Arial"/>
          <w:color w:val="222222"/>
          <w:shd w:val="clear" w:color="auto" w:fill="FCFDFD"/>
        </w:rPr>
      </w:pPr>
      <w:r w:rsidRPr="005C551F">
        <w:rPr>
          <w:rFonts w:ascii="ArialMT" w:hAnsi="ArialMT" w:cs="ArialMT"/>
          <w:b/>
          <w:sz w:val="22"/>
          <w:szCs w:val="22"/>
        </w:rPr>
        <w:lastRenderedPageBreak/>
        <w:t>1122-12.2013.4.01.3821</w:t>
      </w:r>
      <w:r>
        <w:rPr>
          <w:rFonts w:ascii="ArialMT" w:hAnsi="ArialMT" w:cs="ArialMT"/>
          <w:b/>
          <w:sz w:val="22"/>
          <w:szCs w:val="22"/>
        </w:rPr>
        <w:t xml:space="preserve"> </w:t>
      </w:r>
      <w:r>
        <w:rPr>
          <w:rFonts w:ascii="Arial" w:hAnsi="Arial" w:cs="Arial"/>
          <w:color w:val="222222"/>
          <w:shd w:val="clear" w:color="auto" w:fill="FCFDFD"/>
        </w:rPr>
        <w:t xml:space="preserve">(Decisão que inadmite Incidente de Uniformização da Jurisprudência. Começou </w:t>
      </w:r>
      <w:r w:rsidR="00BB4870">
        <w:rPr>
          <w:rFonts w:ascii="Arial" w:hAnsi="Arial" w:cs="Arial"/>
          <w:color w:val="222222"/>
          <w:shd w:val="clear" w:color="auto" w:fill="FCFDFD"/>
        </w:rPr>
        <w:t>inadmitindo</w:t>
      </w:r>
      <w:r>
        <w:rPr>
          <w:rFonts w:ascii="Arial" w:hAnsi="Arial" w:cs="Arial"/>
          <w:color w:val="222222"/>
          <w:shd w:val="clear" w:color="auto" w:fill="FCFDFD"/>
        </w:rPr>
        <w:t xml:space="preserve"> recurso inominado com base na sumula 149 do STJ; agora, inadmite incidente com base na Sumula </w:t>
      </w:r>
      <w:r w:rsidR="006F0CEB">
        <w:rPr>
          <w:rFonts w:ascii="Arial" w:hAnsi="Arial" w:cs="Arial"/>
          <w:color w:val="222222"/>
          <w:shd w:val="clear" w:color="auto" w:fill="FCFDFD"/>
        </w:rPr>
        <w:t>54</w:t>
      </w:r>
      <w:r>
        <w:rPr>
          <w:rFonts w:ascii="Arial" w:hAnsi="Arial" w:cs="Arial"/>
          <w:color w:val="222222"/>
          <w:shd w:val="clear" w:color="auto" w:fill="FCFDFD"/>
        </w:rPr>
        <w:t xml:space="preserve"> da TNU, ambas, inadvertidamente, porquanto existia início de prova material (não se aplicava a súmula 149 do STJ)</w:t>
      </w:r>
      <w:r w:rsidR="006F0CEB">
        <w:rPr>
          <w:rFonts w:ascii="Arial" w:hAnsi="Arial" w:cs="Arial"/>
          <w:color w:val="222222"/>
          <w:shd w:val="clear" w:color="auto" w:fill="FCFDFD"/>
        </w:rPr>
        <w:t xml:space="preserve">, em seguida, mesmo sem fazer o julgamento e valoração das provas ( </w:t>
      </w:r>
      <w:r w:rsidR="00485C23">
        <w:rPr>
          <w:rFonts w:ascii="Arial" w:hAnsi="Arial" w:cs="Arial"/>
          <w:color w:val="222222"/>
          <w:shd w:val="clear" w:color="auto" w:fill="FCFDFD"/>
        </w:rPr>
        <w:t xml:space="preserve">pois inadmitiu o recurso, </w:t>
      </w:r>
      <w:r w:rsidR="00485C23" w:rsidRPr="00485C23">
        <w:rPr>
          <w:rFonts w:ascii="Arial" w:hAnsi="Arial" w:cs="Arial"/>
          <w:i/>
          <w:color w:val="222222"/>
          <w:shd w:val="clear" w:color="auto" w:fill="FCFDFD"/>
        </w:rPr>
        <w:t>a prio</w:t>
      </w:r>
      <w:r w:rsidR="006F0CEB" w:rsidRPr="00485C23">
        <w:rPr>
          <w:rFonts w:ascii="Arial" w:hAnsi="Arial" w:cs="Arial"/>
          <w:i/>
          <w:color w:val="222222"/>
          <w:shd w:val="clear" w:color="auto" w:fill="FCFDFD"/>
        </w:rPr>
        <w:t>ri</w:t>
      </w:r>
      <w:r w:rsidR="006F0CEB">
        <w:rPr>
          <w:rFonts w:ascii="Arial" w:hAnsi="Arial" w:cs="Arial"/>
          <w:color w:val="222222"/>
          <w:shd w:val="clear" w:color="auto" w:fill="FCFDFD"/>
        </w:rPr>
        <w:t>)</w:t>
      </w:r>
      <w:r w:rsidR="00485C23">
        <w:rPr>
          <w:rFonts w:ascii="Arial" w:hAnsi="Arial" w:cs="Arial"/>
          <w:color w:val="222222"/>
          <w:shd w:val="clear" w:color="auto" w:fill="FCFDFD"/>
        </w:rPr>
        <w:t xml:space="preserve">, agora aplica a Sumula 54 da TNU para inadmitir o incidente de Uniformização, desconsiderando completamente o distinguinsh feito sobre a ampliação da eficácia prospectiva do início de prova material. Nesse caso, o processo está em curso, tendo em vista que foi interposto da decisão “irrecorrível” embargos declaratórios com efeitos Presquestionadores para possível RE ao STF) </w:t>
      </w:r>
    </w:p>
    <w:p w:rsidR="001165BB" w:rsidRDefault="001165BB" w:rsidP="00DC0908">
      <w:pPr>
        <w:spacing w:line="240" w:lineRule="auto"/>
        <w:jc w:val="both"/>
        <w:rPr>
          <w:rFonts w:ascii="Arial" w:hAnsi="Arial" w:cs="Arial"/>
          <w:color w:val="222222"/>
          <w:shd w:val="clear" w:color="auto" w:fill="FCFDFD"/>
        </w:rPr>
      </w:pPr>
    </w:p>
    <w:p w:rsidR="005F1AEF" w:rsidRDefault="001165BB" w:rsidP="00DC0908">
      <w:pPr>
        <w:spacing w:line="240" w:lineRule="auto"/>
        <w:jc w:val="both"/>
        <w:rPr>
          <w:rFonts w:ascii="Arial" w:hAnsi="Arial" w:cs="Arial"/>
          <w:color w:val="222222"/>
          <w:shd w:val="clear" w:color="auto" w:fill="FCFDFD"/>
        </w:rPr>
      </w:pPr>
      <w:r w:rsidRPr="001165BB">
        <w:rPr>
          <w:rFonts w:ascii="Arial" w:hAnsi="Arial" w:cs="Arial"/>
          <w:b/>
          <w:color w:val="222222"/>
          <w:shd w:val="clear" w:color="auto" w:fill="FCFDFD"/>
        </w:rPr>
        <w:t>1811-</w:t>
      </w:r>
      <w:r w:rsidR="00BB4870" w:rsidRPr="001165BB">
        <w:rPr>
          <w:rFonts w:ascii="Arial" w:hAnsi="Arial" w:cs="Arial"/>
          <w:b/>
          <w:color w:val="222222"/>
          <w:shd w:val="clear" w:color="auto" w:fill="FCFDFD"/>
        </w:rPr>
        <w:t>84.2011.4.01.3802</w:t>
      </w:r>
      <w:r w:rsidR="00BB4870">
        <w:rPr>
          <w:rFonts w:ascii="Arial" w:hAnsi="Arial" w:cs="Arial"/>
          <w:b/>
          <w:color w:val="222222"/>
          <w:shd w:val="clear" w:color="auto" w:fill="FCFDFD"/>
        </w:rPr>
        <w:t xml:space="preserve"> </w:t>
      </w:r>
      <w:r w:rsidR="00BB4870">
        <w:rPr>
          <w:rFonts w:ascii="Arial" w:hAnsi="Arial" w:cs="Arial"/>
          <w:color w:val="222222"/>
          <w:shd w:val="clear" w:color="auto" w:fill="FCFDFD"/>
        </w:rPr>
        <w:t>(Processo</w:t>
      </w:r>
      <w:r>
        <w:rPr>
          <w:rFonts w:ascii="Arial" w:hAnsi="Arial" w:cs="Arial"/>
          <w:color w:val="222222"/>
          <w:shd w:val="clear" w:color="auto" w:fill="FCFDFD"/>
        </w:rPr>
        <w:t xml:space="preserve"> originário do JEF de Uberaba, gentilmente cedido pela Ilustre advogada </w:t>
      </w:r>
      <w:r w:rsidR="005F1AEF">
        <w:rPr>
          <w:rFonts w:ascii="Arial" w:hAnsi="Arial" w:cs="Arial"/>
          <w:color w:val="222222"/>
          <w:shd w:val="clear" w:color="auto" w:fill="FCFDFD"/>
        </w:rPr>
        <w:t>Patrícia</w:t>
      </w:r>
      <w:r>
        <w:rPr>
          <w:rFonts w:ascii="Arial" w:hAnsi="Arial" w:cs="Arial"/>
          <w:color w:val="222222"/>
          <w:shd w:val="clear" w:color="auto" w:fill="FCFDFD"/>
        </w:rPr>
        <w:t xml:space="preserve"> Teodora</w:t>
      </w:r>
      <w:r w:rsidR="005F1AEF">
        <w:rPr>
          <w:rFonts w:ascii="Arial" w:hAnsi="Arial" w:cs="Arial"/>
          <w:color w:val="222222"/>
          <w:shd w:val="clear" w:color="auto" w:fill="FCFDFD"/>
        </w:rPr>
        <w:t>, que corre o risco de ser aplicada, novamente, e de maneira equivocada a Sumula 42 da TNU para inadmitir o Incidente de Uniformização da Jurisprudência à própria TNU em matéria já pacificada por aquela Turma e pelo STJ);</w:t>
      </w:r>
    </w:p>
    <w:p w:rsidR="005F1AEF" w:rsidRDefault="005F1AEF" w:rsidP="00DC0908">
      <w:pPr>
        <w:spacing w:line="240" w:lineRule="auto"/>
        <w:jc w:val="both"/>
        <w:rPr>
          <w:rFonts w:ascii="Arial" w:hAnsi="Arial" w:cs="Arial"/>
          <w:color w:val="222222"/>
          <w:shd w:val="clear" w:color="auto" w:fill="FCFDFD"/>
        </w:rPr>
      </w:pPr>
    </w:p>
    <w:p w:rsidR="00E05B91" w:rsidRDefault="00117F80" w:rsidP="00DC0908">
      <w:pPr>
        <w:spacing w:line="240" w:lineRule="auto"/>
        <w:jc w:val="both"/>
        <w:rPr>
          <w:rFonts w:ascii="Arial" w:hAnsi="Arial" w:cs="Arial"/>
          <w:color w:val="222222"/>
          <w:shd w:val="clear" w:color="auto" w:fill="FCFDFD"/>
        </w:rPr>
      </w:pPr>
      <w:r w:rsidRPr="00117F80">
        <w:rPr>
          <w:rFonts w:ascii="Arial" w:hAnsi="Arial" w:cs="Arial"/>
          <w:b/>
          <w:color w:val="222222"/>
          <w:shd w:val="clear" w:color="auto" w:fill="FCFDFD"/>
        </w:rPr>
        <w:t>3745-43.2012.4.01.3802</w:t>
      </w:r>
      <w:r w:rsidR="001165BB" w:rsidRPr="00117F80">
        <w:rPr>
          <w:rFonts w:ascii="Arial" w:hAnsi="Arial" w:cs="Arial"/>
          <w:b/>
          <w:color w:val="222222"/>
          <w:shd w:val="clear" w:color="auto" w:fill="FCFDFD"/>
        </w:rPr>
        <w:t xml:space="preserve"> </w:t>
      </w:r>
      <w:r w:rsidRPr="00117F80">
        <w:rPr>
          <w:rFonts w:ascii="Arial" w:hAnsi="Arial" w:cs="Arial"/>
          <w:color w:val="222222"/>
          <w:shd w:val="clear" w:color="auto" w:fill="FCFDFD"/>
        </w:rPr>
        <w:t>(</w:t>
      </w:r>
      <w:r>
        <w:rPr>
          <w:rFonts w:ascii="Arial" w:hAnsi="Arial" w:cs="Arial"/>
          <w:color w:val="222222"/>
          <w:shd w:val="clear" w:color="auto" w:fill="FCFDFD"/>
        </w:rPr>
        <w:t xml:space="preserve"> Processo originário do JEF de Uberaba, gentilmente cedido pela Ilustre advogada Patrícia Teodora, em que se nega admissibilidade a Incidente de Uniformização da Jurisprudência sob a afirmação, novamente, equivocada da Sumula 42 da TNU sobre matéria já pacificada pela TNU e STJ</w:t>
      </w:r>
      <w:r w:rsidR="00E05B91">
        <w:rPr>
          <w:rFonts w:ascii="Arial" w:hAnsi="Arial" w:cs="Arial"/>
          <w:color w:val="222222"/>
          <w:shd w:val="clear" w:color="auto" w:fill="FCFDFD"/>
        </w:rPr>
        <w:t xml:space="preserve">, com embargos de declaração com efeitos </w:t>
      </w:r>
      <w:r w:rsidR="00BB4870">
        <w:rPr>
          <w:rFonts w:ascii="Arial" w:hAnsi="Arial" w:cs="Arial"/>
          <w:color w:val="222222"/>
          <w:shd w:val="clear" w:color="auto" w:fill="FCFDFD"/>
        </w:rPr>
        <w:t>Presquestionadores</w:t>
      </w:r>
      <w:r w:rsidR="00E05B91">
        <w:rPr>
          <w:rFonts w:ascii="Arial" w:hAnsi="Arial" w:cs="Arial"/>
          <w:color w:val="222222"/>
          <w:shd w:val="clear" w:color="auto" w:fill="FCFDFD"/>
        </w:rPr>
        <w:t xml:space="preserve"> propostos para RE em que se discute a “inconstitucionalidade” aqui, também aventada, dos dispositivos da Resolução 347/2015 – RITNU, que definem a irrecorribilidade das decisões das Turmas Recursais que inadmitem </w:t>
      </w:r>
      <w:r w:rsidR="00BB4870">
        <w:rPr>
          <w:rFonts w:ascii="Arial" w:hAnsi="Arial" w:cs="Arial"/>
          <w:color w:val="222222"/>
          <w:shd w:val="clear" w:color="auto" w:fill="FCFDFD"/>
        </w:rPr>
        <w:t xml:space="preserve">PEDILEF’s). </w:t>
      </w:r>
    </w:p>
    <w:p w:rsidR="00B86402" w:rsidRPr="00E05B91" w:rsidRDefault="00B86402" w:rsidP="00DC0908">
      <w:pPr>
        <w:spacing w:line="240" w:lineRule="auto"/>
        <w:jc w:val="both"/>
        <w:rPr>
          <w:rFonts w:ascii="Arial" w:hAnsi="Arial" w:cs="Arial"/>
          <w:color w:val="222222"/>
          <w:shd w:val="clear" w:color="auto" w:fill="FCFDFD"/>
        </w:rPr>
      </w:pPr>
    </w:p>
    <w:p w:rsidR="00485C23" w:rsidRDefault="00485C23" w:rsidP="00DC0908">
      <w:pPr>
        <w:ind w:firstLine="1134"/>
        <w:jc w:val="both"/>
        <w:rPr>
          <w:rFonts w:ascii="Arial" w:hAnsi="Arial" w:cs="Arial"/>
          <w:color w:val="222222"/>
          <w:shd w:val="clear" w:color="auto" w:fill="FCFDFD"/>
        </w:rPr>
      </w:pPr>
    </w:p>
    <w:p w:rsidR="00DC0908" w:rsidRPr="0014544E" w:rsidRDefault="00B77F3D" w:rsidP="00DC0908">
      <w:pPr>
        <w:ind w:firstLine="1134"/>
        <w:jc w:val="both"/>
        <w:rPr>
          <w:rFonts w:ascii="Arial" w:hAnsi="Arial" w:cs="Arial"/>
          <w:color w:val="222222"/>
          <w:shd w:val="clear" w:color="auto" w:fill="FCFDFD"/>
        </w:rPr>
      </w:pPr>
      <w:r>
        <w:rPr>
          <w:rFonts w:ascii="Arial" w:hAnsi="Arial" w:cs="Arial"/>
          <w:color w:val="222222"/>
          <w:shd w:val="clear" w:color="auto" w:fill="FCFDFD"/>
        </w:rPr>
        <w:t xml:space="preserve">São inúmeros casos como </w:t>
      </w:r>
      <w:r w:rsidR="009F587F">
        <w:rPr>
          <w:rFonts w:ascii="Arial" w:hAnsi="Arial" w:cs="Arial"/>
          <w:color w:val="222222"/>
          <w:shd w:val="clear" w:color="auto" w:fill="FCFDFD"/>
        </w:rPr>
        <w:t>o</w:t>
      </w:r>
      <w:r w:rsidR="00027B44">
        <w:rPr>
          <w:rFonts w:ascii="Arial" w:hAnsi="Arial" w:cs="Arial"/>
          <w:color w:val="222222"/>
          <w:shd w:val="clear" w:color="auto" w:fill="FCFDFD"/>
        </w:rPr>
        <w:t>s</w:t>
      </w:r>
      <w:r w:rsidR="009F587F">
        <w:rPr>
          <w:rFonts w:ascii="Arial" w:hAnsi="Arial" w:cs="Arial"/>
          <w:color w:val="222222"/>
          <w:shd w:val="clear" w:color="auto" w:fill="FCFDFD"/>
        </w:rPr>
        <w:t xml:space="preserve"> acima demonstrado</w:t>
      </w:r>
      <w:r w:rsidR="0010181E">
        <w:rPr>
          <w:rFonts w:ascii="Arial" w:hAnsi="Arial" w:cs="Arial"/>
          <w:color w:val="222222"/>
          <w:shd w:val="clear" w:color="auto" w:fill="FCFDFD"/>
        </w:rPr>
        <w:t>s</w:t>
      </w:r>
      <w:r w:rsidR="00027B44">
        <w:rPr>
          <w:rFonts w:ascii="Arial" w:hAnsi="Arial" w:cs="Arial"/>
          <w:color w:val="222222"/>
          <w:shd w:val="clear" w:color="auto" w:fill="FCFDFD"/>
        </w:rPr>
        <w:t xml:space="preserve"> </w:t>
      </w:r>
      <w:r w:rsidR="0010181E">
        <w:rPr>
          <w:rFonts w:ascii="Arial" w:hAnsi="Arial" w:cs="Arial"/>
          <w:color w:val="222222"/>
          <w:shd w:val="clear" w:color="auto" w:fill="FCFDFD"/>
        </w:rPr>
        <w:t>(às</w:t>
      </w:r>
      <w:r w:rsidR="00027B44">
        <w:rPr>
          <w:rFonts w:ascii="Arial" w:hAnsi="Arial" w:cs="Arial"/>
          <w:color w:val="222222"/>
          <w:shd w:val="clear" w:color="auto" w:fill="FCFDFD"/>
        </w:rPr>
        <w:t xml:space="preserve"> centenas, isso só no caso da 1ª Turma Recursal de </w:t>
      </w:r>
      <w:r w:rsidR="00F01F12">
        <w:rPr>
          <w:rFonts w:ascii="Arial" w:hAnsi="Arial" w:cs="Arial"/>
          <w:color w:val="222222"/>
          <w:shd w:val="clear" w:color="auto" w:fill="FCFDFD"/>
        </w:rPr>
        <w:t>XXXXXX</w:t>
      </w:r>
      <w:r w:rsidR="00027B44">
        <w:rPr>
          <w:rFonts w:ascii="Arial" w:hAnsi="Arial" w:cs="Arial"/>
          <w:color w:val="222222"/>
          <w:shd w:val="clear" w:color="auto" w:fill="FCFDFD"/>
        </w:rPr>
        <w:t xml:space="preserve">. Se fizermos uma consulta em toda a </w:t>
      </w:r>
      <w:r w:rsidR="0010181E">
        <w:rPr>
          <w:rFonts w:ascii="Arial" w:hAnsi="Arial" w:cs="Arial"/>
          <w:color w:val="222222"/>
          <w:shd w:val="clear" w:color="auto" w:fill="FCFDFD"/>
        </w:rPr>
        <w:t>jurisdição</w:t>
      </w:r>
      <w:r w:rsidR="00027B44">
        <w:rPr>
          <w:rFonts w:ascii="Arial" w:hAnsi="Arial" w:cs="Arial"/>
          <w:color w:val="222222"/>
          <w:shd w:val="clear" w:color="auto" w:fill="FCFDFD"/>
        </w:rPr>
        <w:t xml:space="preserve"> do TRF1, serão aos milhares com repetições da mesma matéria processual e meritória que aqui se apresenta)</w:t>
      </w:r>
      <w:r>
        <w:rPr>
          <w:rFonts w:ascii="Arial" w:hAnsi="Arial" w:cs="Arial"/>
          <w:color w:val="222222"/>
          <w:shd w:val="clear" w:color="auto" w:fill="FCFDFD"/>
        </w:rPr>
        <w:t xml:space="preserve">, pautados exclusivamente na seguinte questão: </w:t>
      </w:r>
      <w:r w:rsidRPr="00DC0908">
        <w:rPr>
          <w:rFonts w:ascii="Arial" w:hAnsi="Arial" w:cs="Arial"/>
          <w:i/>
          <w:color w:val="222222"/>
          <w:shd w:val="clear" w:color="auto" w:fill="FCFDFD"/>
        </w:rPr>
        <w:t>“</w:t>
      </w:r>
      <w:r w:rsidRPr="00F01F12">
        <w:rPr>
          <w:rFonts w:ascii="Arial" w:hAnsi="Arial" w:cs="Arial"/>
          <w:b/>
          <w:i/>
          <w:color w:val="222222"/>
          <w:shd w:val="clear" w:color="auto" w:fill="FCFDFD"/>
        </w:rPr>
        <w:t>Aplicação inadvertida de sumulas sem qualquer relação daquelas com os casos que se apresentam</w:t>
      </w:r>
      <w:r w:rsidR="00B86402" w:rsidRPr="00F01F12">
        <w:rPr>
          <w:rFonts w:ascii="Arial" w:hAnsi="Arial" w:cs="Arial"/>
          <w:b/>
          <w:i/>
          <w:color w:val="222222"/>
          <w:shd w:val="clear" w:color="auto" w:fill="FCFDFD"/>
        </w:rPr>
        <w:t xml:space="preserve"> e em situações concretas que se amoldam, ao contrário, aos paradigmas firmados pela TNU, STJ e TRF1</w:t>
      </w:r>
      <w:r w:rsidRPr="00F01F12">
        <w:rPr>
          <w:rFonts w:ascii="Arial" w:hAnsi="Arial" w:cs="Arial"/>
          <w:b/>
          <w:i/>
          <w:color w:val="222222"/>
          <w:shd w:val="clear" w:color="auto" w:fill="FCFDFD"/>
        </w:rPr>
        <w:t>,</w:t>
      </w:r>
      <w:r w:rsidR="005741C0" w:rsidRPr="00F01F12">
        <w:rPr>
          <w:rFonts w:ascii="Arial" w:hAnsi="Arial" w:cs="Arial"/>
          <w:b/>
          <w:i/>
          <w:color w:val="222222"/>
          <w:shd w:val="clear" w:color="auto" w:fill="FCFDFD"/>
        </w:rPr>
        <w:t xml:space="preserve"> em total afronta ao art. 489,V, do NCPC</w:t>
      </w:r>
      <w:r w:rsidRPr="00F01F12">
        <w:rPr>
          <w:rFonts w:ascii="Arial" w:hAnsi="Arial" w:cs="Arial"/>
          <w:b/>
          <w:i/>
          <w:color w:val="222222"/>
          <w:shd w:val="clear" w:color="auto" w:fill="FCFDFD"/>
        </w:rPr>
        <w:t xml:space="preserve"> </w:t>
      </w:r>
      <w:r w:rsidR="005741C0" w:rsidRPr="00F01F12">
        <w:rPr>
          <w:rFonts w:ascii="Arial" w:hAnsi="Arial" w:cs="Arial"/>
          <w:b/>
          <w:i/>
          <w:color w:val="222222"/>
          <w:shd w:val="clear" w:color="auto" w:fill="FCFDFD"/>
        </w:rPr>
        <w:t xml:space="preserve"> e com base nos dispositivos inconstitucionais da Resolução 347/2015 do CJF ( que legislam restritivamente sobre Direito Processual) </w:t>
      </w:r>
      <w:r w:rsidRPr="00F01F12">
        <w:rPr>
          <w:rFonts w:ascii="Arial" w:hAnsi="Arial" w:cs="Arial"/>
          <w:b/>
          <w:i/>
          <w:color w:val="222222"/>
          <w:shd w:val="clear" w:color="auto" w:fill="FCFDFD"/>
        </w:rPr>
        <w:t xml:space="preserve">apenas para tornar a decisão mais célere (pois não precisam se alongar em fundamentação, batendo recordes de produtividade </w:t>
      </w:r>
      <w:r w:rsidR="009F587F" w:rsidRPr="00F01F12">
        <w:rPr>
          <w:rFonts w:ascii="Arial" w:hAnsi="Arial" w:cs="Arial"/>
          <w:b/>
          <w:i/>
          <w:color w:val="222222"/>
          <w:shd w:val="clear" w:color="auto" w:fill="FCFDFD"/>
        </w:rPr>
        <w:t>à custa de muita injustiça e quebra de isonomia e insegurança jurídica</w:t>
      </w:r>
      <w:r w:rsidR="009F587F" w:rsidRPr="00F01F12">
        <w:rPr>
          <w:rFonts w:ascii="Arial" w:hAnsi="Arial" w:cs="Arial"/>
          <w:b/>
          <w:color w:val="222222"/>
          <w:shd w:val="clear" w:color="auto" w:fill="FCFDFD"/>
        </w:rPr>
        <w:t>.</w:t>
      </w:r>
      <w:r w:rsidR="00DC0908" w:rsidRPr="00F01F12">
        <w:rPr>
          <w:rFonts w:ascii="Arial" w:hAnsi="Arial" w:cs="Arial"/>
          <w:b/>
          <w:color w:val="222222"/>
          <w:shd w:val="clear" w:color="auto" w:fill="FCFDFD"/>
        </w:rPr>
        <w:t>”</w:t>
      </w:r>
      <w:r w:rsidR="009F587F">
        <w:rPr>
          <w:rFonts w:ascii="Arial" w:hAnsi="Arial" w:cs="Arial"/>
          <w:color w:val="222222"/>
          <w:shd w:val="clear" w:color="auto" w:fill="FCFDFD"/>
        </w:rPr>
        <w:t xml:space="preserve"> </w:t>
      </w:r>
      <w:r>
        <w:rPr>
          <w:rFonts w:ascii="Arial" w:hAnsi="Arial" w:cs="Arial"/>
          <w:color w:val="222222"/>
          <w:shd w:val="clear" w:color="auto" w:fill="FCFDFD"/>
        </w:rPr>
        <w:t xml:space="preserve"> </w:t>
      </w:r>
      <w:proofErr w:type="gramStart"/>
      <w:r w:rsidR="0014544E">
        <w:rPr>
          <w:rFonts w:ascii="Arial" w:hAnsi="Arial" w:cs="Arial"/>
          <w:color w:val="222222"/>
          <w:shd w:val="clear" w:color="auto" w:fill="FCFDFD"/>
        </w:rPr>
        <w:t>( Tese</w:t>
      </w:r>
      <w:proofErr w:type="gramEnd"/>
      <w:r w:rsidR="0014544E">
        <w:rPr>
          <w:rFonts w:ascii="Arial" w:hAnsi="Arial" w:cs="Arial"/>
          <w:color w:val="222222"/>
          <w:shd w:val="clear" w:color="auto" w:fill="FCFDFD"/>
        </w:rPr>
        <w:t xml:space="preserve"> em sentido amplo e </w:t>
      </w:r>
      <w:r w:rsidR="0014544E">
        <w:rPr>
          <w:rFonts w:ascii="Arial" w:hAnsi="Arial" w:cs="Arial"/>
          <w:i/>
          <w:color w:val="222222"/>
          <w:shd w:val="clear" w:color="auto" w:fill="FCFDFD"/>
        </w:rPr>
        <w:t xml:space="preserve"> ratio decidendi</w:t>
      </w:r>
      <w:r w:rsidR="0014544E">
        <w:rPr>
          <w:rFonts w:ascii="Arial" w:hAnsi="Arial" w:cs="Arial"/>
          <w:color w:val="222222"/>
          <w:shd w:val="clear" w:color="auto" w:fill="FCFDFD"/>
        </w:rPr>
        <w:t xml:space="preserve"> que se busca neste IRDR)</w:t>
      </w:r>
    </w:p>
    <w:p w:rsidR="00485C23" w:rsidRDefault="009F587F" w:rsidP="00DC0908">
      <w:pPr>
        <w:ind w:firstLine="1134"/>
        <w:jc w:val="both"/>
        <w:rPr>
          <w:rFonts w:ascii="Arial" w:hAnsi="Arial" w:cs="Arial"/>
          <w:color w:val="222222"/>
          <w:shd w:val="clear" w:color="auto" w:fill="FCFDFD"/>
        </w:rPr>
      </w:pPr>
      <w:r>
        <w:rPr>
          <w:rFonts w:ascii="Arial" w:hAnsi="Arial" w:cs="Arial"/>
          <w:color w:val="222222"/>
          <w:shd w:val="clear" w:color="auto" w:fill="FCFDFD"/>
        </w:rPr>
        <w:lastRenderedPageBreak/>
        <w:t xml:space="preserve">As teses que se pretende aqui sejam firmadas não terão eficácia senão depois de muitas interposições de “Reclamações” para manter a autoridade das suas decisões </w:t>
      </w:r>
      <w:r w:rsidR="00027B44">
        <w:rPr>
          <w:rFonts w:ascii="Arial" w:hAnsi="Arial" w:cs="Arial"/>
          <w:color w:val="222222"/>
          <w:shd w:val="clear" w:color="auto" w:fill="FCFDFD"/>
        </w:rPr>
        <w:t>(por</w:t>
      </w:r>
      <w:r>
        <w:rPr>
          <w:rFonts w:ascii="Arial" w:hAnsi="Arial" w:cs="Arial"/>
          <w:color w:val="222222"/>
          <w:shd w:val="clear" w:color="auto" w:fill="FCFDFD"/>
        </w:rPr>
        <w:t xml:space="preserve"> que </w:t>
      </w:r>
      <w:r w:rsidR="00493AF3">
        <w:rPr>
          <w:rFonts w:ascii="Arial" w:hAnsi="Arial" w:cs="Arial"/>
          <w:color w:val="222222"/>
          <w:shd w:val="clear" w:color="auto" w:fill="FCFDFD"/>
        </w:rPr>
        <w:t>a Turma Recursal tem</w:t>
      </w:r>
      <w:r>
        <w:rPr>
          <w:rFonts w:ascii="Arial" w:hAnsi="Arial" w:cs="Arial"/>
          <w:color w:val="222222"/>
          <w:shd w:val="clear" w:color="auto" w:fill="FCFDFD"/>
        </w:rPr>
        <w:t xml:space="preserve"> descumprido a todo momento os precedentes da TNU que são favoráveis e progressistas. Aplicam, a seu bom alvedrio, Sumulas restritivas e descontextualizadas</w:t>
      </w:r>
      <w:r w:rsidR="0014544E">
        <w:rPr>
          <w:rFonts w:ascii="Arial" w:hAnsi="Arial" w:cs="Arial"/>
          <w:color w:val="222222"/>
          <w:shd w:val="clear" w:color="auto" w:fill="FCFDFD"/>
        </w:rPr>
        <w:t xml:space="preserve">, ou arbitrariamente, sem possibilidade de revisão pelas Turmas de Uniformização para que mantenham a autoridade das suas teses já firmadas, </w:t>
      </w:r>
      <w:r>
        <w:rPr>
          <w:rFonts w:ascii="Arial" w:hAnsi="Arial" w:cs="Arial"/>
          <w:color w:val="222222"/>
          <w:shd w:val="clear" w:color="auto" w:fill="FCFDFD"/>
        </w:rPr>
        <w:t>com os casos que se apresentam</w:t>
      </w:r>
      <w:r w:rsidR="00D45462">
        <w:rPr>
          <w:rFonts w:ascii="Arial" w:hAnsi="Arial" w:cs="Arial"/>
          <w:color w:val="222222"/>
          <w:shd w:val="clear" w:color="auto" w:fill="FCFDFD"/>
        </w:rPr>
        <w:t>).</w:t>
      </w:r>
    </w:p>
    <w:p w:rsidR="00735EAA" w:rsidRDefault="00735EAA" w:rsidP="00DC0908">
      <w:pPr>
        <w:ind w:firstLine="1134"/>
        <w:jc w:val="both"/>
        <w:rPr>
          <w:rFonts w:ascii="Arial" w:hAnsi="Arial" w:cs="Arial"/>
          <w:color w:val="222222"/>
          <w:shd w:val="clear" w:color="auto" w:fill="FCFDFD"/>
        </w:rPr>
      </w:pPr>
      <w:r>
        <w:rPr>
          <w:rFonts w:ascii="Arial" w:hAnsi="Arial" w:cs="Arial"/>
          <w:color w:val="222222"/>
          <w:shd w:val="clear" w:color="auto" w:fill="FCFDFD"/>
        </w:rPr>
        <w:t xml:space="preserve">Além disso, o IRDR tem, na sua origem, </w:t>
      </w:r>
      <w:r w:rsidRPr="00491C5C">
        <w:rPr>
          <w:rFonts w:ascii="Arial" w:hAnsi="Arial" w:cs="Arial"/>
          <w:b/>
          <w:color w:val="222222"/>
          <w:shd w:val="clear" w:color="auto" w:fill="FCFDFD"/>
        </w:rPr>
        <w:t xml:space="preserve">a função </w:t>
      </w:r>
      <w:r w:rsidR="006A3B47" w:rsidRPr="00491C5C">
        <w:rPr>
          <w:rFonts w:ascii="Arial" w:hAnsi="Arial" w:cs="Arial"/>
          <w:b/>
          <w:color w:val="222222"/>
          <w:shd w:val="clear" w:color="auto" w:fill="FCFDFD"/>
        </w:rPr>
        <w:t>“preventiva</w:t>
      </w:r>
      <w:r w:rsidRPr="00491C5C">
        <w:rPr>
          <w:rFonts w:ascii="Arial" w:hAnsi="Arial" w:cs="Arial"/>
          <w:b/>
          <w:color w:val="222222"/>
          <w:shd w:val="clear" w:color="auto" w:fill="FCFDFD"/>
        </w:rPr>
        <w:t xml:space="preserve">” </w:t>
      </w:r>
      <w:r w:rsidR="00DD0AFF" w:rsidRPr="00491C5C">
        <w:rPr>
          <w:rFonts w:ascii="Arial" w:hAnsi="Arial" w:cs="Arial"/>
          <w:b/>
          <w:color w:val="222222"/>
          <w:shd w:val="clear" w:color="auto" w:fill="FCFDFD"/>
        </w:rPr>
        <w:t>para que novos casos</w:t>
      </w:r>
      <w:r w:rsidR="00EE7375" w:rsidRPr="00491C5C">
        <w:rPr>
          <w:rFonts w:ascii="Arial" w:hAnsi="Arial" w:cs="Arial"/>
          <w:b/>
          <w:color w:val="222222"/>
          <w:shd w:val="clear" w:color="auto" w:fill="FCFDFD"/>
        </w:rPr>
        <w:t xml:space="preserve"> não encontrem a </w:t>
      </w:r>
      <w:r w:rsidR="006A3B47" w:rsidRPr="00491C5C">
        <w:rPr>
          <w:rFonts w:ascii="Arial" w:hAnsi="Arial" w:cs="Arial"/>
          <w:b/>
          <w:color w:val="222222"/>
          <w:shd w:val="clear" w:color="auto" w:fill="FCFDFD"/>
        </w:rPr>
        <w:t>“insegurança</w:t>
      </w:r>
      <w:r w:rsidR="00EE7375" w:rsidRPr="00491C5C">
        <w:rPr>
          <w:rFonts w:ascii="Arial" w:hAnsi="Arial" w:cs="Arial"/>
          <w:b/>
          <w:color w:val="222222"/>
          <w:shd w:val="clear" w:color="auto" w:fill="FCFDFD"/>
        </w:rPr>
        <w:t xml:space="preserve"> jurídica” das decisões dispersas</w:t>
      </w:r>
      <w:r w:rsidR="00EE7375">
        <w:rPr>
          <w:rFonts w:ascii="Arial" w:hAnsi="Arial" w:cs="Arial"/>
          <w:color w:val="222222"/>
          <w:shd w:val="clear" w:color="auto" w:fill="FCFDFD"/>
        </w:rPr>
        <w:t xml:space="preserve">. Para a mesma situação concreta, um mesmo </w:t>
      </w:r>
      <w:r w:rsidR="006A3B47">
        <w:rPr>
          <w:rFonts w:ascii="Arial" w:hAnsi="Arial" w:cs="Arial"/>
          <w:color w:val="222222"/>
          <w:shd w:val="clear" w:color="auto" w:fill="FCFDFD"/>
        </w:rPr>
        <w:t>“olhar</w:t>
      </w:r>
      <w:r w:rsidR="00EE7375">
        <w:rPr>
          <w:rFonts w:ascii="Arial" w:hAnsi="Arial" w:cs="Arial"/>
          <w:color w:val="222222"/>
          <w:shd w:val="clear" w:color="auto" w:fill="FCFDFD"/>
        </w:rPr>
        <w:t xml:space="preserve">”. Então, aqueles processos administrativos que se tornarão demandas judiciais já poderão ter como paradigma as teses fixadas neste IRDR. </w:t>
      </w:r>
    </w:p>
    <w:p w:rsidR="009F587F" w:rsidRPr="00D45462" w:rsidRDefault="009F587F" w:rsidP="00EE7375">
      <w:pPr>
        <w:ind w:firstLine="1134"/>
        <w:jc w:val="both"/>
        <w:rPr>
          <w:rFonts w:ascii="Arial" w:hAnsi="Arial" w:cs="Arial"/>
          <w:i/>
          <w:color w:val="222222"/>
          <w:shd w:val="clear" w:color="auto" w:fill="FCFDFD"/>
        </w:rPr>
      </w:pPr>
      <w:r>
        <w:rPr>
          <w:rFonts w:ascii="Arial" w:hAnsi="Arial" w:cs="Arial"/>
          <w:color w:val="222222"/>
          <w:shd w:val="clear" w:color="auto" w:fill="FCFDFD"/>
        </w:rPr>
        <w:t xml:space="preserve">Enfim, caso esta Corte entenda que os processos acima relacionados </w:t>
      </w:r>
      <w:r w:rsidR="00D45462">
        <w:rPr>
          <w:rFonts w:ascii="Arial" w:hAnsi="Arial" w:cs="Arial"/>
          <w:color w:val="222222"/>
          <w:shd w:val="clear" w:color="auto" w:fill="FCFDFD"/>
        </w:rPr>
        <w:t>(cujas</w:t>
      </w:r>
      <w:r>
        <w:rPr>
          <w:rFonts w:ascii="Arial" w:hAnsi="Arial" w:cs="Arial"/>
          <w:color w:val="222222"/>
          <w:shd w:val="clear" w:color="auto" w:fill="FCFDFD"/>
        </w:rPr>
        <w:t xml:space="preserve"> decisões seguirão anexadas), mas que estão disponíveis também no sítio eletrônico, não são suficientes</w:t>
      </w:r>
      <w:r w:rsidR="00BA35BD">
        <w:rPr>
          <w:rFonts w:ascii="Arial" w:hAnsi="Arial" w:cs="Arial"/>
          <w:color w:val="222222"/>
          <w:shd w:val="clear" w:color="auto" w:fill="FCFDFD"/>
        </w:rPr>
        <w:t xml:space="preserve"> ( apesar do legislador não ter definido um número mínimo de ações)</w:t>
      </w:r>
      <w:r>
        <w:rPr>
          <w:rFonts w:ascii="Arial" w:hAnsi="Arial" w:cs="Arial"/>
          <w:color w:val="222222"/>
          <w:shd w:val="clear" w:color="auto" w:fill="FCFDFD"/>
        </w:rPr>
        <w:t xml:space="preserve">, podem nos intimar nos termos do </w:t>
      </w:r>
      <w:r w:rsidR="00D45462">
        <w:rPr>
          <w:rFonts w:ascii="Arial" w:hAnsi="Arial" w:cs="Arial"/>
          <w:color w:val="222222"/>
          <w:shd w:val="clear" w:color="auto" w:fill="FCFDFD"/>
        </w:rPr>
        <w:t xml:space="preserve">art. 10 do NCPC, para que apresentemos mais representativos de controvérsia ( aí faremos uma pesquisa pública com todos os advogados previdenciaristas que labutam na Jurisdição da Primeira Turma Recursal de Juiz de Fora para que nos forneçam seus processos paradigmas e convidamos, então, a OAB, para participar como </w:t>
      </w:r>
      <w:r w:rsidR="00D45462">
        <w:rPr>
          <w:rFonts w:ascii="Arial" w:hAnsi="Arial" w:cs="Arial"/>
          <w:i/>
          <w:color w:val="222222"/>
          <w:shd w:val="clear" w:color="auto" w:fill="FCFDFD"/>
        </w:rPr>
        <w:t xml:space="preserve"> Amicus curiae). </w:t>
      </w:r>
    </w:p>
    <w:p w:rsidR="00005AAA" w:rsidRPr="005C551F" w:rsidRDefault="00005AAA" w:rsidP="001779E2">
      <w:pPr>
        <w:jc w:val="both"/>
        <w:rPr>
          <w:rFonts w:ascii="Arial" w:hAnsi="Arial" w:cs="Arial"/>
          <w:b/>
          <w:color w:val="222222"/>
          <w:shd w:val="clear" w:color="auto" w:fill="FCFDFD"/>
        </w:rPr>
      </w:pPr>
    </w:p>
    <w:p w:rsidR="00267442" w:rsidRDefault="00267442" w:rsidP="00FD6567">
      <w:pPr>
        <w:spacing w:line="240" w:lineRule="auto"/>
        <w:jc w:val="both"/>
        <w:rPr>
          <w:rStyle w:val="paginascontent"/>
          <w:rFonts w:ascii="Arial" w:hAnsi="Arial" w:cs="Arial"/>
          <w:b/>
        </w:rPr>
      </w:pPr>
      <w:r>
        <w:rPr>
          <w:rFonts w:ascii="Arial" w:eastAsia="Luxi Sans" w:hAnsi="Arial" w:cs="Arial"/>
          <w:b/>
        </w:rPr>
        <w:t xml:space="preserve">4.0. </w:t>
      </w:r>
      <w:r w:rsidR="00E17B08" w:rsidRPr="00E17B08">
        <w:rPr>
          <w:rFonts w:ascii="Arial" w:eastAsia="Luxi Sans" w:hAnsi="Arial" w:cs="Arial"/>
          <w:b/>
        </w:rPr>
        <w:t xml:space="preserve">DA ARGUIÇÃO DE INCONSTITUCIONALIDADE DOS ARTS. </w:t>
      </w:r>
      <w:r w:rsidR="00E17B08" w:rsidRPr="00E17B08">
        <w:rPr>
          <w:rStyle w:val="paginascontent"/>
          <w:rFonts w:ascii="Arial" w:hAnsi="Arial" w:cs="Arial"/>
          <w:b/>
        </w:rPr>
        <w:t>ART. 15º, §2º DO DA RESOLUÇÃO 345/2015 E DO ARTS. 46 E INCISOS E ART. 47, AMBOS DA RESOLUÇÃO 345/2015 DO CJF</w:t>
      </w:r>
    </w:p>
    <w:p w:rsidR="008D6EF3" w:rsidRDefault="008D6EF3" w:rsidP="00FD6567">
      <w:pPr>
        <w:spacing w:line="240" w:lineRule="auto"/>
        <w:jc w:val="both"/>
        <w:rPr>
          <w:rStyle w:val="paginascontent"/>
          <w:rFonts w:ascii="Arial" w:hAnsi="Arial" w:cs="Arial"/>
          <w:b/>
        </w:rPr>
      </w:pPr>
    </w:p>
    <w:p w:rsidR="008D6EF3" w:rsidRDefault="00D53FF0" w:rsidP="00BF2C46">
      <w:pPr>
        <w:ind w:firstLine="1134"/>
        <w:jc w:val="both"/>
        <w:rPr>
          <w:rStyle w:val="paginascontent"/>
          <w:rFonts w:ascii="Arial" w:hAnsi="Arial" w:cs="Arial"/>
        </w:rPr>
      </w:pPr>
      <w:r>
        <w:rPr>
          <w:rStyle w:val="paginascontent"/>
          <w:rFonts w:ascii="Arial" w:hAnsi="Arial" w:cs="Arial"/>
        </w:rPr>
        <w:t xml:space="preserve">A 1ª Turma Recursal dos JEF’s em Juiz de Fora, valendo-se do comando imposto no art. 15,§2ª, da </w:t>
      </w:r>
      <w:r w:rsidR="00491C5C">
        <w:rPr>
          <w:rStyle w:val="paginascontent"/>
          <w:rFonts w:ascii="Arial" w:hAnsi="Arial" w:cs="Arial"/>
        </w:rPr>
        <w:t>Resolução</w:t>
      </w:r>
      <w:r w:rsidR="00C83B52">
        <w:rPr>
          <w:rStyle w:val="paginascontent"/>
          <w:rFonts w:ascii="Arial" w:hAnsi="Arial" w:cs="Arial"/>
        </w:rPr>
        <w:t xml:space="preserve"> 345/2015 do CJF, vem inadmitindo Recursos e Incidentes admissíveis ( aplicando súmulas que nada tem a ver com os casos concretos, de forma teratológica e não fundamentada) , sabendo que sua decisão é “ irrecorrível” e, com isso, não poderá ser revista pela TNU ou TRU, já que suprimiram a figura do Agravo Interno para o Presidente da TNU ou TRU e a Reclamação só é admitida quando o descumprimento for relacionado a um comando da TNU, no próprio processo.( outro filtro inconsti</w:t>
      </w:r>
      <w:r w:rsidR="001A3042">
        <w:rPr>
          <w:rStyle w:val="paginascontent"/>
          <w:rFonts w:ascii="Arial" w:hAnsi="Arial" w:cs="Arial"/>
        </w:rPr>
        <w:t>tu</w:t>
      </w:r>
      <w:r w:rsidR="00C83B52">
        <w:rPr>
          <w:rStyle w:val="paginascontent"/>
          <w:rFonts w:ascii="Arial" w:hAnsi="Arial" w:cs="Arial"/>
        </w:rPr>
        <w:t>cional).</w:t>
      </w:r>
    </w:p>
    <w:p w:rsidR="001A3042" w:rsidRDefault="00EC1440" w:rsidP="00EC1440">
      <w:pPr>
        <w:ind w:firstLine="1134"/>
        <w:jc w:val="both"/>
        <w:rPr>
          <w:rStyle w:val="paginascontent"/>
          <w:rFonts w:ascii="Arial" w:hAnsi="Arial" w:cs="Arial"/>
        </w:rPr>
      </w:pPr>
      <w:r>
        <w:rPr>
          <w:rStyle w:val="paginascontent"/>
          <w:rFonts w:ascii="Arial" w:hAnsi="Arial" w:cs="Arial"/>
        </w:rPr>
        <w:lastRenderedPageBreak/>
        <w:t>Afora isso</w:t>
      </w:r>
      <w:r w:rsidR="001A3042">
        <w:rPr>
          <w:rStyle w:val="paginascontent"/>
          <w:rFonts w:ascii="Arial" w:hAnsi="Arial" w:cs="Arial"/>
        </w:rPr>
        <w:t xml:space="preserve">, segundo informações de </w:t>
      </w:r>
      <w:r w:rsidR="001B31C7">
        <w:rPr>
          <w:rStyle w:val="paginascontent"/>
          <w:rFonts w:ascii="Arial" w:hAnsi="Arial" w:cs="Arial"/>
        </w:rPr>
        <w:t>“pares</w:t>
      </w:r>
      <w:r w:rsidR="001A3042">
        <w:rPr>
          <w:rStyle w:val="paginascontent"/>
          <w:rFonts w:ascii="Arial" w:hAnsi="Arial" w:cs="Arial"/>
        </w:rPr>
        <w:t xml:space="preserve"> da advocacia”, o problema não está adstrito à Turma Recursal de Juiz de Fora, mas parece uma </w:t>
      </w:r>
      <w:r w:rsidR="000F50AC">
        <w:rPr>
          <w:rStyle w:val="paginascontent"/>
          <w:rFonts w:ascii="Arial" w:hAnsi="Arial" w:cs="Arial"/>
        </w:rPr>
        <w:t>“moda</w:t>
      </w:r>
      <w:r w:rsidR="001A3042">
        <w:rPr>
          <w:rStyle w:val="paginascontent"/>
          <w:rFonts w:ascii="Arial" w:hAnsi="Arial" w:cs="Arial"/>
        </w:rPr>
        <w:t xml:space="preserve">” em diversas Turmas Recursais da primeira região. </w:t>
      </w:r>
    </w:p>
    <w:p w:rsidR="001B31C7" w:rsidRDefault="001B31C7" w:rsidP="00EC1440">
      <w:pPr>
        <w:ind w:firstLine="1134"/>
        <w:jc w:val="both"/>
        <w:rPr>
          <w:rStyle w:val="paginascontent"/>
          <w:rFonts w:ascii="Arial" w:hAnsi="Arial" w:cs="Arial"/>
        </w:rPr>
      </w:pPr>
      <w:r>
        <w:rPr>
          <w:rStyle w:val="paginascontent"/>
          <w:rFonts w:ascii="Arial" w:hAnsi="Arial" w:cs="Arial"/>
        </w:rPr>
        <w:t>Talvez, tivessem as referidas Turmas Recursais atuando de forma legítima, admitindo ou inadmitindo Recursos ou Incidentes de maneira fundamentada e não teratológica, o instituto poderia até ser útil e ninguém reclamasse da sua inconstitucionalidade.</w:t>
      </w:r>
    </w:p>
    <w:p w:rsidR="001B31C7" w:rsidRDefault="001B31C7" w:rsidP="00EC1440">
      <w:pPr>
        <w:ind w:firstLine="1134"/>
        <w:jc w:val="both"/>
        <w:rPr>
          <w:rStyle w:val="paginascontent"/>
          <w:rFonts w:ascii="Arial" w:hAnsi="Arial" w:cs="Arial"/>
        </w:rPr>
      </w:pPr>
      <w:r>
        <w:rPr>
          <w:rStyle w:val="paginascontent"/>
          <w:rFonts w:ascii="Arial" w:hAnsi="Arial" w:cs="Arial"/>
        </w:rPr>
        <w:t>Ocorre que o “desvio de finalidade” tem imperado e algo precisa ser feito. Não sendo, aqui, resolvida a questão, terá o MPF elementos, como fiscal da Lei, para propor a necess</w:t>
      </w:r>
      <w:r w:rsidR="00803098">
        <w:rPr>
          <w:rStyle w:val="paginascontent"/>
          <w:rFonts w:ascii="Arial" w:hAnsi="Arial" w:cs="Arial"/>
        </w:rPr>
        <w:t>ária ação de controle concentrado de Inconstitucionalidade.</w:t>
      </w:r>
    </w:p>
    <w:p w:rsidR="00C91379" w:rsidRDefault="00C91379" w:rsidP="00C91379">
      <w:pPr>
        <w:autoSpaceDE w:val="0"/>
        <w:autoSpaceDN w:val="0"/>
        <w:adjustRightInd w:val="0"/>
        <w:ind w:left="33" w:firstLine="1101"/>
        <w:jc w:val="both"/>
        <w:rPr>
          <w:rFonts w:ascii="Arial" w:hAnsi="Arial" w:cs="Arial"/>
        </w:rPr>
      </w:pPr>
      <w:r>
        <w:rPr>
          <w:rFonts w:ascii="Arial" w:hAnsi="Arial" w:cs="Arial"/>
          <w:color w:val="000000" w:themeColor="text1"/>
        </w:rPr>
        <w:t>Como</w:t>
      </w:r>
      <w:r w:rsidRPr="00253F25">
        <w:rPr>
          <w:rFonts w:ascii="Arial" w:hAnsi="Arial" w:cs="Arial"/>
          <w:color w:val="000000" w:themeColor="text1"/>
        </w:rPr>
        <w:t xml:space="preserve"> se trata de questão conexa e que reclama arguição de inconstitucionalidade, o objeto secundário deste Incidente de resolução de demandas repetitivas, é </w:t>
      </w:r>
      <w:r w:rsidRPr="000F50AC">
        <w:rPr>
          <w:rFonts w:ascii="Arial" w:hAnsi="Arial" w:cs="Arial"/>
          <w:b/>
          <w:color w:val="000000" w:themeColor="text1"/>
        </w:rPr>
        <w:t xml:space="preserve">a declaração de inconstitucionalidade </w:t>
      </w:r>
      <w:r w:rsidRPr="000F50AC">
        <w:rPr>
          <w:rStyle w:val="paginascontent"/>
          <w:rFonts w:ascii="Arial" w:hAnsi="Arial" w:cs="Arial"/>
          <w:b/>
        </w:rPr>
        <w:t>do art. 15º, §2º da Resolução 345/2015</w:t>
      </w:r>
      <w:r>
        <w:rPr>
          <w:rStyle w:val="paginascontent"/>
          <w:rFonts w:ascii="Arial" w:hAnsi="Arial" w:cs="Arial"/>
        </w:rPr>
        <w:t xml:space="preserve"> ( Regimento Interno da TNU), alterado pela</w:t>
      </w:r>
      <w:r w:rsidRPr="00253F25">
        <w:rPr>
          <w:rStyle w:val="paginascontent"/>
          <w:rFonts w:ascii="Arial" w:hAnsi="Arial" w:cs="Arial"/>
        </w:rPr>
        <w:t xml:space="preserve"> Resolução 39</w:t>
      </w:r>
      <w:r>
        <w:rPr>
          <w:rStyle w:val="paginascontent"/>
          <w:rFonts w:ascii="Arial" w:hAnsi="Arial" w:cs="Arial"/>
        </w:rPr>
        <w:t>2</w:t>
      </w:r>
      <w:r w:rsidRPr="00253F25">
        <w:rPr>
          <w:rStyle w:val="paginascontent"/>
          <w:rFonts w:ascii="Arial" w:hAnsi="Arial" w:cs="Arial"/>
        </w:rPr>
        <w:t xml:space="preserve">/2016 do CJF que legisla, atipicamente, impondo a </w:t>
      </w:r>
      <w:r w:rsidRPr="00253F25">
        <w:rPr>
          <w:rStyle w:val="paginascontent"/>
          <w:rFonts w:ascii="Arial" w:hAnsi="Arial" w:cs="Arial"/>
          <w:b/>
        </w:rPr>
        <w:t>“irrecorribilidade da decisão da Turma Recursal que inadmite o Incidente de Uniformização da Jurisprudência</w:t>
      </w:r>
      <w:r w:rsidRPr="00253F25">
        <w:rPr>
          <w:rStyle w:val="paginascontent"/>
          <w:rFonts w:ascii="Arial" w:hAnsi="Arial" w:cs="Arial"/>
        </w:rPr>
        <w:t>”, ferindo, à evidência o</w:t>
      </w:r>
      <w:r w:rsidRPr="00253F25">
        <w:rPr>
          <w:rFonts w:ascii="Arial" w:hAnsi="Arial" w:cs="Arial"/>
          <w:b/>
        </w:rPr>
        <w:t xml:space="preserve"> princípio da legalidade</w:t>
      </w:r>
      <w:r w:rsidRPr="00253F25">
        <w:rPr>
          <w:rFonts w:ascii="Arial" w:hAnsi="Arial" w:cs="Arial"/>
        </w:rPr>
        <w:t>,</w:t>
      </w:r>
      <w:r w:rsidRPr="00253F25">
        <w:rPr>
          <w:rFonts w:ascii="Arial" w:hAnsi="Arial" w:cs="Arial"/>
          <w:b/>
        </w:rPr>
        <w:t xml:space="preserve"> </w:t>
      </w:r>
      <w:r w:rsidRPr="00253F25">
        <w:rPr>
          <w:rFonts w:ascii="Arial" w:hAnsi="Arial" w:cs="Arial"/>
        </w:rPr>
        <w:t>insculpido no art. 37, caput, da CF bem como por usurpa as atribuições do Poder Legislativo, em ato privativo da União, de Legislar sobre Direito processual, consoante disposição do art. 22, I, da CF/88.</w:t>
      </w:r>
    </w:p>
    <w:p w:rsidR="00C91379" w:rsidRDefault="00C91379" w:rsidP="0049209B">
      <w:pPr>
        <w:autoSpaceDE w:val="0"/>
        <w:autoSpaceDN w:val="0"/>
        <w:adjustRightInd w:val="0"/>
        <w:ind w:left="33" w:firstLine="1101"/>
        <w:jc w:val="both"/>
        <w:rPr>
          <w:rFonts w:ascii="Arial" w:hAnsi="Arial" w:cs="Arial"/>
        </w:rPr>
      </w:pPr>
      <w:r>
        <w:rPr>
          <w:rFonts w:ascii="Arial" w:hAnsi="Arial" w:cs="Arial"/>
        </w:rPr>
        <w:t xml:space="preserve">A conexão do pedido de declaração incidental de inconstitucionalidade com o presente Incidente é evidente, já que se </w:t>
      </w:r>
      <w:proofErr w:type="gramStart"/>
      <w:r>
        <w:rPr>
          <w:rFonts w:ascii="Arial" w:hAnsi="Arial" w:cs="Arial"/>
        </w:rPr>
        <w:t>a decisão das Turmas Recursais que inadmitissem Incidentes de Uniformização da Jurisprudência à TNU fossem</w:t>
      </w:r>
      <w:proofErr w:type="gramEnd"/>
      <w:r>
        <w:rPr>
          <w:rFonts w:ascii="Arial" w:hAnsi="Arial" w:cs="Arial"/>
        </w:rPr>
        <w:t xml:space="preserve"> recorríveis ou reapreciáveis pela própria TNU, o objeto deste Incidente se esvaziaria, já que a própria TNU poderia rever o “mal feito” da Turma Recursal.</w:t>
      </w:r>
    </w:p>
    <w:p w:rsidR="00C91379" w:rsidRDefault="00C91379" w:rsidP="0049209B">
      <w:pPr>
        <w:ind w:firstLine="1101"/>
        <w:jc w:val="both"/>
        <w:rPr>
          <w:rFonts w:ascii="Arial" w:hAnsi="Arial" w:cs="Arial"/>
          <w:color w:val="000000"/>
          <w:shd w:val="clear" w:color="auto" w:fill="FFFFFF"/>
        </w:rPr>
      </w:pPr>
      <w:r>
        <w:rPr>
          <w:rFonts w:ascii="Arial" w:hAnsi="Arial" w:cs="Arial"/>
        </w:rPr>
        <w:t>Ainda, em matéria de inconstitucionalidade, o</w:t>
      </w:r>
      <w:r w:rsidRPr="00435E7E">
        <w:rPr>
          <w:rFonts w:ascii="Arial" w:hAnsi="Arial" w:cs="Arial"/>
          <w:color w:val="000000"/>
          <w:shd w:val="clear" w:color="auto" w:fill="FFFFFF"/>
        </w:rPr>
        <w:t xml:space="preserve"> Colegiado da Turma Nacional de Uniformização dos Juizados Especiais Federais (TNU) revogou, por unanimidade, na sessão de 22 de fevereiro de 2018, a </w:t>
      </w:r>
      <w:r w:rsidRPr="00552E84">
        <w:rPr>
          <w:rFonts w:ascii="Arial" w:hAnsi="Arial" w:cs="Arial"/>
          <w:color w:val="000000"/>
          <w:u w:val="single"/>
          <w:shd w:val="clear" w:color="auto" w:fill="FFFFFF"/>
        </w:rPr>
        <w:t>Questão de Ordem n° 16</w:t>
      </w:r>
      <w:r w:rsidRPr="00435E7E">
        <w:rPr>
          <w:rFonts w:ascii="Arial" w:hAnsi="Arial" w:cs="Arial"/>
          <w:color w:val="000000"/>
          <w:shd w:val="clear" w:color="auto" w:fill="FFFFFF"/>
        </w:rPr>
        <w:t>, que admitia reclamação contra decisão da turma recursal que recusasse adaptar acórdão à jurisprudência consolidada. A TNU entendeu que o enunciado estava em confronto ao inciso I, do artigo 46, do Regimento Interno da própria Turma.</w:t>
      </w:r>
      <w:r>
        <w:rPr>
          <w:rFonts w:ascii="Arial" w:hAnsi="Arial" w:cs="Arial"/>
          <w:color w:val="000000"/>
          <w:shd w:val="clear" w:color="auto" w:fill="FFFFFF"/>
        </w:rPr>
        <w:t xml:space="preserve"> </w:t>
      </w:r>
    </w:p>
    <w:p w:rsidR="00C91379" w:rsidRPr="00435E7E" w:rsidRDefault="00C91379" w:rsidP="00C91379">
      <w:pPr>
        <w:ind w:firstLine="1134"/>
        <w:jc w:val="both"/>
        <w:rPr>
          <w:rFonts w:ascii="Arial" w:hAnsi="Arial" w:cs="Arial"/>
          <w:color w:val="000000"/>
          <w:shd w:val="clear" w:color="auto" w:fill="FFFFFF"/>
        </w:rPr>
      </w:pPr>
      <w:r w:rsidRPr="00435E7E">
        <w:rPr>
          <w:rFonts w:ascii="Arial" w:hAnsi="Arial" w:cs="Arial"/>
          <w:color w:val="000000"/>
          <w:shd w:val="clear" w:color="auto" w:fill="FFFFFF"/>
        </w:rPr>
        <w:t>Rezam os arts. 46 e 47, e incisos do RITNU</w:t>
      </w:r>
      <w:r w:rsidR="00122B25">
        <w:rPr>
          <w:rFonts w:ascii="Arial" w:hAnsi="Arial" w:cs="Arial"/>
          <w:color w:val="000000"/>
          <w:shd w:val="clear" w:color="auto" w:fill="FFFFFF"/>
        </w:rPr>
        <w:t xml:space="preserve"> </w:t>
      </w:r>
      <w:r w:rsidR="00BA35BD">
        <w:rPr>
          <w:rFonts w:ascii="Arial" w:hAnsi="Arial" w:cs="Arial"/>
          <w:color w:val="000000"/>
          <w:shd w:val="clear" w:color="auto" w:fill="FFFFFF"/>
        </w:rPr>
        <w:t>(Resolução</w:t>
      </w:r>
      <w:r w:rsidR="00122B25">
        <w:rPr>
          <w:rFonts w:ascii="Arial" w:hAnsi="Arial" w:cs="Arial"/>
          <w:color w:val="000000"/>
          <w:shd w:val="clear" w:color="auto" w:fill="FFFFFF"/>
        </w:rPr>
        <w:t xml:space="preserve"> 345/2015)</w:t>
      </w:r>
      <w:r w:rsidRPr="00435E7E">
        <w:rPr>
          <w:rFonts w:ascii="Arial" w:hAnsi="Arial" w:cs="Arial"/>
          <w:color w:val="000000"/>
          <w:shd w:val="clear" w:color="auto" w:fill="FFFFFF"/>
        </w:rPr>
        <w:t>:</w:t>
      </w:r>
    </w:p>
    <w:p w:rsidR="00C91379" w:rsidRDefault="00C91379" w:rsidP="00C91379">
      <w:pPr>
        <w:jc w:val="both"/>
        <w:rPr>
          <w:rFonts w:ascii="Arial" w:hAnsi="Arial" w:cs="Arial"/>
          <w:color w:val="000000"/>
          <w:sz w:val="21"/>
          <w:szCs w:val="21"/>
          <w:shd w:val="clear" w:color="auto" w:fill="FFFFFF"/>
        </w:rPr>
      </w:pPr>
    </w:p>
    <w:p w:rsidR="00C91379" w:rsidRPr="004614A4" w:rsidRDefault="00C91379" w:rsidP="0049209B">
      <w:pPr>
        <w:spacing w:line="240" w:lineRule="auto"/>
        <w:ind w:left="2410"/>
        <w:jc w:val="both"/>
        <w:rPr>
          <w:rFonts w:ascii="Arial" w:hAnsi="Arial" w:cs="Arial"/>
          <w:b/>
          <w:i/>
          <w:sz w:val="20"/>
          <w:szCs w:val="20"/>
        </w:rPr>
      </w:pPr>
      <w:r w:rsidRPr="004614A4">
        <w:rPr>
          <w:rFonts w:ascii="Arial" w:hAnsi="Arial" w:cs="Arial"/>
          <w:i/>
          <w:sz w:val="20"/>
          <w:szCs w:val="20"/>
        </w:rPr>
        <w:lastRenderedPageBreak/>
        <w:t xml:space="preserve">“Art. 46. </w:t>
      </w:r>
      <w:r w:rsidRPr="004614A4">
        <w:rPr>
          <w:rFonts w:ascii="Arial" w:hAnsi="Arial" w:cs="Arial"/>
          <w:b/>
          <w:i/>
          <w:sz w:val="20"/>
          <w:szCs w:val="20"/>
        </w:rPr>
        <w:t>Não cabe reclamação, sendo a inicial desde logo indeferida quando:</w:t>
      </w:r>
    </w:p>
    <w:p w:rsidR="00C91379" w:rsidRPr="004614A4" w:rsidRDefault="00C91379" w:rsidP="0049209B">
      <w:pPr>
        <w:spacing w:line="240" w:lineRule="auto"/>
        <w:ind w:left="2410"/>
        <w:jc w:val="both"/>
        <w:rPr>
          <w:rFonts w:ascii="Arial" w:hAnsi="Arial" w:cs="Arial"/>
          <w:i/>
          <w:sz w:val="20"/>
          <w:szCs w:val="20"/>
        </w:rPr>
      </w:pPr>
      <w:r w:rsidRPr="004614A4">
        <w:rPr>
          <w:rFonts w:ascii="Arial" w:hAnsi="Arial" w:cs="Arial"/>
          <w:i/>
          <w:sz w:val="20"/>
          <w:szCs w:val="20"/>
        </w:rPr>
        <w:t xml:space="preserve"> I – </w:t>
      </w:r>
      <w:r w:rsidRPr="004614A4">
        <w:rPr>
          <w:rFonts w:ascii="Arial" w:hAnsi="Arial" w:cs="Arial"/>
          <w:i/>
          <w:sz w:val="20"/>
          <w:szCs w:val="20"/>
          <w:u w:val="single"/>
        </w:rPr>
        <w:t>fundamentada em decisões proferidas em outros autos</w:t>
      </w:r>
      <w:r w:rsidRPr="004614A4">
        <w:rPr>
          <w:rFonts w:ascii="Arial" w:hAnsi="Arial" w:cs="Arial"/>
          <w:i/>
          <w:sz w:val="20"/>
          <w:szCs w:val="20"/>
        </w:rPr>
        <w:t xml:space="preserve">; </w:t>
      </w:r>
    </w:p>
    <w:p w:rsidR="00C91379" w:rsidRPr="004614A4" w:rsidRDefault="00C91379" w:rsidP="0049209B">
      <w:pPr>
        <w:spacing w:line="240" w:lineRule="auto"/>
        <w:ind w:left="2410"/>
        <w:jc w:val="both"/>
        <w:rPr>
          <w:rFonts w:ascii="Arial" w:hAnsi="Arial" w:cs="Arial"/>
          <w:i/>
          <w:sz w:val="20"/>
          <w:szCs w:val="20"/>
        </w:rPr>
      </w:pPr>
      <w:r w:rsidRPr="004614A4">
        <w:rPr>
          <w:rFonts w:ascii="Arial" w:hAnsi="Arial" w:cs="Arial"/>
          <w:i/>
          <w:sz w:val="20"/>
          <w:szCs w:val="20"/>
        </w:rPr>
        <w:t xml:space="preserve">II – </w:t>
      </w:r>
      <w:r w:rsidRPr="004614A4">
        <w:rPr>
          <w:rFonts w:ascii="Arial" w:hAnsi="Arial" w:cs="Arial"/>
          <w:i/>
          <w:sz w:val="20"/>
          <w:szCs w:val="20"/>
          <w:u w:val="single"/>
        </w:rPr>
        <w:t>fundamentada em negativa de admissibilidade de incidente nacional por parte do juiz responsável pela admissibilidade</w:t>
      </w:r>
      <w:r w:rsidRPr="004614A4">
        <w:rPr>
          <w:rFonts w:ascii="Arial" w:hAnsi="Arial" w:cs="Arial"/>
          <w:i/>
          <w:sz w:val="20"/>
          <w:szCs w:val="20"/>
        </w:rPr>
        <w:t>;</w:t>
      </w:r>
    </w:p>
    <w:p w:rsidR="00C91379" w:rsidRDefault="00C91379" w:rsidP="00C91379">
      <w:pPr>
        <w:autoSpaceDE w:val="0"/>
        <w:autoSpaceDN w:val="0"/>
        <w:adjustRightInd w:val="0"/>
        <w:ind w:left="33" w:firstLine="709"/>
        <w:jc w:val="both"/>
        <w:rPr>
          <w:rFonts w:ascii="Arial" w:hAnsi="Arial" w:cs="Arial"/>
        </w:rPr>
      </w:pPr>
    </w:p>
    <w:p w:rsidR="00C91379" w:rsidRDefault="00C91379" w:rsidP="00C91379">
      <w:pPr>
        <w:ind w:firstLine="1134"/>
        <w:jc w:val="both"/>
        <w:rPr>
          <w:rFonts w:ascii="Arial" w:hAnsi="Arial" w:cs="Arial"/>
        </w:rPr>
      </w:pPr>
      <w:r>
        <w:rPr>
          <w:rFonts w:ascii="Arial" w:hAnsi="Arial" w:cs="Arial"/>
        </w:rPr>
        <w:t xml:space="preserve">Como se vê, além da questão inconstitucional noutro parágrafo levantada, </w:t>
      </w:r>
      <w:r w:rsidRPr="00C56DB3">
        <w:rPr>
          <w:rFonts w:ascii="Arial" w:hAnsi="Arial" w:cs="Arial"/>
        </w:rPr>
        <w:t>o CJF legisla atipicamente, restringindo mais do que o Legislador (competente para legislar sobre Direito Processual) quis restringir</w:t>
      </w:r>
      <w:r w:rsidR="00122B25">
        <w:rPr>
          <w:rFonts w:ascii="Arial" w:hAnsi="Arial" w:cs="Arial"/>
        </w:rPr>
        <w:t xml:space="preserve"> no art. 988, Incisos I, II, III e IV, do NCPC que enumera, de forma alternativa, as hipóteses de incidência do Instituto da Reclamação.</w:t>
      </w:r>
      <w:r w:rsidRPr="00C56DB3">
        <w:rPr>
          <w:rFonts w:ascii="Arial" w:hAnsi="Arial" w:cs="Arial"/>
        </w:rPr>
        <w:t xml:space="preserve"> Com isso, o CJF usurpa a competência Legislativa constitucional da União, ferindo de morte, o art. 22 da CF/88, que diz:</w:t>
      </w:r>
    </w:p>
    <w:p w:rsidR="000C2389" w:rsidRDefault="000C2389" w:rsidP="00C91379">
      <w:pPr>
        <w:pStyle w:val="NormalWeb"/>
        <w:shd w:val="clear" w:color="auto" w:fill="FFFFFF"/>
        <w:spacing w:before="0" w:beforeAutospacing="0" w:after="0" w:afterAutospacing="0" w:line="240" w:lineRule="auto"/>
        <w:ind w:left="2410"/>
        <w:jc w:val="both"/>
        <w:rPr>
          <w:rFonts w:ascii="Arial" w:hAnsi="Arial" w:cs="Arial"/>
          <w:i/>
          <w:sz w:val="20"/>
          <w:szCs w:val="20"/>
        </w:rPr>
      </w:pPr>
    </w:p>
    <w:p w:rsidR="00C91379" w:rsidRPr="00C56DB3" w:rsidRDefault="00C91379" w:rsidP="00C91379">
      <w:pPr>
        <w:pStyle w:val="NormalWeb"/>
        <w:shd w:val="clear" w:color="auto" w:fill="FFFFFF"/>
        <w:spacing w:before="0" w:beforeAutospacing="0" w:after="0" w:afterAutospacing="0" w:line="240" w:lineRule="auto"/>
        <w:ind w:left="2410"/>
        <w:jc w:val="both"/>
        <w:rPr>
          <w:i/>
          <w:sz w:val="20"/>
          <w:szCs w:val="20"/>
        </w:rPr>
      </w:pPr>
      <w:r>
        <w:rPr>
          <w:rFonts w:ascii="Arial" w:hAnsi="Arial" w:cs="Arial"/>
          <w:i/>
          <w:sz w:val="20"/>
          <w:szCs w:val="20"/>
        </w:rPr>
        <w:t>“</w:t>
      </w:r>
      <w:r w:rsidRPr="00C56DB3">
        <w:rPr>
          <w:rFonts w:ascii="Arial" w:hAnsi="Arial" w:cs="Arial"/>
          <w:i/>
          <w:sz w:val="20"/>
          <w:szCs w:val="20"/>
        </w:rPr>
        <w:t xml:space="preserve">Art. 22. Compete </w:t>
      </w:r>
      <w:r w:rsidRPr="00747018">
        <w:rPr>
          <w:rFonts w:ascii="Arial" w:hAnsi="Arial" w:cs="Arial"/>
          <w:b/>
          <w:i/>
          <w:sz w:val="20"/>
          <w:szCs w:val="20"/>
        </w:rPr>
        <w:t>privativamente à União</w:t>
      </w:r>
      <w:r w:rsidRPr="00C56DB3">
        <w:rPr>
          <w:rFonts w:ascii="Arial" w:hAnsi="Arial" w:cs="Arial"/>
          <w:i/>
          <w:sz w:val="20"/>
          <w:szCs w:val="20"/>
        </w:rPr>
        <w:t xml:space="preserve"> legislar sobre:</w:t>
      </w:r>
    </w:p>
    <w:p w:rsidR="00C91379" w:rsidRPr="00C56DB3" w:rsidRDefault="00C91379" w:rsidP="00C91379">
      <w:pPr>
        <w:pStyle w:val="NormalWeb"/>
        <w:shd w:val="clear" w:color="auto" w:fill="FFFFFF"/>
        <w:spacing w:before="0" w:beforeAutospacing="0" w:after="0" w:afterAutospacing="0" w:line="240" w:lineRule="auto"/>
        <w:ind w:left="2410"/>
        <w:jc w:val="both"/>
        <w:rPr>
          <w:i/>
          <w:sz w:val="20"/>
          <w:szCs w:val="20"/>
        </w:rPr>
      </w:pPr>
      <w:r w:rsidRPr="00C56DB3">
        <w:rPr>
          <w:rFonts w:ascii="Arial" w:hAnsi="Arial" w:cs="Arial"/>
          <w:i/>
          <w:sz w:val="20"/>
          <w:szCs w:val="20"/>
        </w:rPr>
        <w:t xml:space="preserve">I - </w:t>
      </w:r>
      <w:r w:rsidRPr="00747018">
        <w:rPr>
          <w:rFonts w:ascii="Arial" w:hAnsi="Arial" w:cs="Arial"/>
          <w:b/>
          <w:i/>
          <w:sz w:val="20"/>
          <w:szCs w:val="20"/>
          <w:u w:val="single"/>
        </w:rPr>
        <w:t>direito</w:t>
      </w:r>
      <w:r w:rsidRPr="00C56DB3">
        <w:rPr>
          <w:rFonts w:ascii="Arial" w:hAnsi="Arial" w:cs="Arial"/>
          <w:i/>
          <w:sz w:val="20"/>
          <w:szCs w:val="20"/>
        </w:rPr>
        <w:t xml:space="preserve"> civil, comercial, penal, </w:t>
      </w:r>
      <w:r w:rsidRPr="00747018">
        <w:rPr>
          <w:rFonts w:ascii="Arial" w:hAnsi="Arial" w:cs="Arial"/>
          <w:b/>
          <w:i/>
          <w:sz w:val="20"/>
          <w:szCs w:val="20"/>
          <w:u w:val="single"/>
        </w:rPr>
        <w:t>processual,</w:t>
      </w:r>
      <w:r w:rsidRPr="00C56DB3">
        <w:rPr>
          <w:rFonts w:ascii="Arial" w:hAnsi="Arial" w:cs="Arial"/>
          <w:i/>
          <w:sz w:val="20"/>
          <w:szCs w:val="20"/>
        </w:rPr>
        <w:t xml:space="preserve"> eleitoral, agrário, marítimo, aeronáutico, espacial e do trabalho;</w:t>
      </w:r>
      <w:r>
        <w:rPr>
          <w:rFonts w:ascii="Arial" w:hAnsi="Arial" w:cs="Arial"/>
          <w:i/>
          <w:sz w:val="20"/>
          <w:szCs w:val="20"/>
        </w:rPr>
        <w:t>”</w:t>
      </w:r>
    </w:p>
    <w:p w:rsidR="00C91379" w:rsidRDefault="00C91379" w:rsidP="00C91379">
      <w:pPr>
        <w:tabs>
          <w:tab w:val="left" w:pos="720"/>
        </w:tabs>
        <w:ind w:left="360"/>
        <w:jc w:val="both"/>
        <w:rPr>
          <w:rFonts w:ascii="Arial" w:eastAsia="HG Mincho Light J" w:hAnsi="Arial" w:cs="Arial"/>
          <w:color w:val="000000"/>
        </w:rPr>
      </w:pPr>
    </w:p>
    <w:p w:rsidR="00C91379" w:rsidRDefault="00C91379" w:rsidP="0049209B">
      <w:pPr>
        <w:autoSpaceDE w:val="0"/>
        <w:autoSpaceDN w:val="0"/>
        <w:adjustRightInd w:val="0"/>
        <w:ind w:left="33" w:firstLine="1101"/>
        <w:jc w:val="both"/>
        <w:rPr>
          <w:rFonts w:ascii="Arial" w:hAnsi="Arial" w:cs="Arial"/>
        </w:rPr>
      </w:pPr>
      <w:r>
        <w:rPr>
          <w:rFonts w:ascii="Arial" w:eastAsia="HG Mincho Light J" w:hAnsi="Arial" w:cs="Arial"/>
          <w:color w:val="000000"/>
        </w:rPr>
        <w:t xml:space="preserve">Aqui, portanto, mais um item a ser declarado incidentalmente inconstitucional. Tal dispositivo também é diretamente conexo com o objeto deste Incidente,  </w:t>
      </w:r>
      <w:r>
        <w:rPr>
          <w:rFonts w:ascii="Arial" w:hAnsi="Arial" w:cs="Arial"/>
        </w:rPr>
        <w:t xml:space="preserve">já que se a Turma Recursal de Juiz de Fora tivesse inadmitido o Incidente de Uniformização da Jurisprudência interposto e se </w:t>
      </w:r>
      <w:r w:rsidR="00150991">
        <w:rPr>
          <w:rFonts w:ascii="Arial" w:hAnsi="Arial" w:cs="Arial"/>
        </w:rPr>
        <w:t>fosse viável</w:t>
      </w:r>
      <w:r>
        <w:rPr>
          <w:rFonts w:ascii="Arial" w:hAnsi="Arial" w:cs="Arial"/>
        </w:rPr>
        <w:t xml:space="preserve"> fazer a “ reclamação” à TNU para manter a autoridade dos seus julgados ( de forma abstrata como ocorre nas reclamações ao STF e até mesmo no caso de Reclamação em IRDR),  o objeto deste Incidente se esvaziaria, já que a própria TNU poderia rever o “mal feito” da Turma Recursal, ora apresentado.</w:t>
      </w:r>
    </w:p>
    <w:p w:rsidR="00995F2B" w:rsidRPr="001F6AED" w:rsidRDefault="00995F2B" w:rsidP="00995F2B">
      <w:pPr>
        <w:pStyle w:val="NormalWeb"/>
        <w:spacing w:before="0" w:beforeAutospacing="0" w:after="0" w:afterAutospacing="0"/>
        <w:ind w:left="147" w:firstLine="987"/>
        <w:jc w:val="both"/>
        <w:rPr>
          <w:rStyle w:val="Forte"/>
          <w:rFonts w:ascii="Arial" w:hAnsi="Arial" w:cs="Arial"/>
          <w:color w:val="555555"/>
        </w:rPr>
      </w:pPr>
      <w:r>
        <w:rPr>
          <w:rStyle w:val="paginascontent"/>
          <w:rFonts w:ascii="Arial" w:hAnsi="Arial" w:cs="Arial"/>
        </w:rPr>
        <w:t xml:space="preserve">Enfim, a questão se resume no fato </w:t>
      </w:r>
      <w:r>
        <w:rPr>
          <w:rFonts w:ascii="Arial" w:hAnsi="Arial" w:cs="Arial"/>
          <w:color w:val="555555"/>
        </w:rPr>
        <w:t>do</w:t>
      </w:r>
      <w:r w:rsidRPr="001F6AED">
        <w:rPr>
          <w:rFonts w:ascii="Arial" w:hAnsi="Arial" w:cs="Arial"/>
          <w:color w:val="555555"/>
        </w:rPr>
        <w:t xml:space="preserve"> Conselho de Justiça Federal</w:t>
      </w:r>
      <w:r w:rsidR="00872C05">
        <w:rPr>
          <w:rFonts w:ascii="Arial" w:hAnsi="Arial" w:cs="Arial"/>
          <w:color w:val="555555"/>
        </w:rPr>
        <w:t xml:space="preserve"> estar legislando atipicamente e de forma restritiva em notório desvio de finalidade </w:t>
      </w:r>
      <w:r w:rsidR="00142EB3">
        <w:rPr>
          <w:rFonts w:ascii="Arial" w:hAnsi="Arial" w:cs="Arial"/>
          <w:color w:val="555555"/>
        </w:rPr>
        <w:t>(reduzir</w:t>
      </w:r>
      <w:r w:rsidR="00872C05">
        <w:rPr>
          <w:rFonts w:ascii="Arial" w:hAnsi="Arial" w:cs="Arial"/>
          <w:color w:val="555555"/>
        </w:rPr>
        <w:t xml:space="preserve"> a quantidade de incidentes e reclamações nos órgãos uniformizadores da Jurisprudência) </w:t>
      </w:r>
    </w:p>
    <w:p w:rsidR="009A6D5A" w:rsidRDefault="009A6D5A" w:rsidP="00995F2B">
      <w:pPr>
        <w:pStyle w:val="NormalWeb"/>
        <w:spacing w:before="0" w:beforeAutospacing="0" w:after="0" w:afterAutospacing="0"/>
        <w:ind w:left="147" w:firstLine="987"/>
        <w:jc w:val="both"/>
        <w:rPr>
          <w:rFonts w:ascii="Arial" w:hAnsi="Arial" w:cs="Arial"/>
          <w:color w:val="555555"/>
        </w:rPr>
      </w:pPr>
      <w:r>
        <w:rPr>
          <w:rFonts w:ascii="Arial" w:hAnsi="Arial" w:cs="Arial"/>
          <w:color w:val="555555"/>
        </w:rPr>
        <w:t>A partir das citadas alterações</w:t>
      </w:r>
      <w:r w:rsidR="00995F2B" w:rsidRPr="001F6AED">
        <w:rPr>
          <w:rFonts w:ascii="Arial" w:hAnsi="Arial" w:cs="Arial"/>
          <w:color w:val="555555"/>
        </w:rPr>
        <w:t>, muitos questionamentos foram feitos pela Doutrina processualista autorizada. Entre elas a</w:t>
      </w:r>
      <w:r>
        <w:rPr>
          <w:rFonts w:ascii="Arial" w:hAnsi="Arial" w:cs="Arial"/>
          <w:color w:val="555555"/>
        </w:rPr>
        <w:t>s</w:t>
      </w:r>
      <w:r w:rsidR="00995F2B" w:rsidRPr="001F6AED">
        <w:rPr>
          <w:rFonts w:ascii="Arial" w:hAnsi="Arial" w:cs="Arial"/>
          <w:color w:val="555555"/>
        </w:rPr>
        <w:t xml:space="preserve"> seguinte</w:t>
      </w:r>
      <w:r>
        <w:rPr>
          <w:rFonts w:ascii="Arial" w:hAnsi="Arial" w:cs="Arial"/>
          <w:color w:val="555555"/>
        </w:rPr>
        <w:t>s</w:t>
      </w:r>
      <w:r w:rsidR="00995F2B" w:rsidRPr="001F6AED">
        <w:rPr>
          <w:rFonts w:ascii="Arial" w:hAnsi="Arial" w:cs="Arial"/>
          <w:color w:val="555555"/>
        </w:rPr>
        <w:t xml:space="preserve">:  </w:t>
      </w:r>
    </w:p>
    <w:p w:rsidR="00995F2B" w:rsidRPr="009A6D5A" w:rsidRDefault="00995F2B" w:rsidP="009A6D5A">
      <w:pPr>
        <w:pStyle w:val="NormalWeb"/>
        <w:spacing w:before="0" w:beforeAutospacing="0" w:after="0" w:afterAutospacing="0" w:line="240" w:lineRule="auto"/>
        <w:ind w:left="2410"/>
        <w:jc w:val="both"/>
        <w:rPr>
          <w:rFonts w:ascii="Arial" w:hAnsi="Arial" w:cs="Arial"/>
          <w:i/>
          <w:color w:val="555555"/>
          <w:sz w:val="20"/>
          <w:szCs w:val="20"/>
        </w:rPr>
      </w:pPr>
      <w:r w:rsidRPr="009A6D5A">
        <w:rPr>
          <w:rFonts w:ascii="Arial" w:hAnsi="Arial" w:cs="Arial"/>
          <w:i/>
          <w:color w:val="555555"/>
          <w:sz w:val="20"/>
          <w:szCs w:val="20"/>
        </w:rPr>
        <w:t>“</w:t>
      </w:r>
      <w:r w:rsidR="009A6D5A" w:rsidRPr="009A6D5A">
        <w:rPr>
          <w:rFonts w:ascii="Arial" w:hAnsi="Arial" w:cs="Arial"/>
          <w:i/>
          <w:color w:val="555555"/>
          <w:sz w:val="20"/>
          <w:szCs w:val="20"/>
        </w:rPr>
        <w:t xml:space="preserve">(...) </w:t>
      </w:r>
      <w:r w:rsidRPr="009A6D5A">
        <w:rPr>
          <w:rFonts w:ascii="Arial" w:hAnsi="Arial" w:cs="Arial"/>
          <w:i/>
          <w:color w:val="555555"/>
          <w:sz w:val="20"/>
          <w:szCs w:val="20"/>
        </w:rPr>
        <w:t>e se a referida Turma Recursal “bater o pé”, como bateu nos casos em que</w:t>
      </w:r>
      <w:r w:rsidR="00D05FC0">
        <w:rPr>
          <w:rFonts w:ascii="Arial" w:hAnsi="Arial" w:cs="Arial"/>
          <w:i/>
          <w:color w:val="555555"/>
          <w:sz w:val="20"/>
          <w:szCs w:val="20"/>
        </w:rPr>
        <w:t xml:space="preserve"> outrora (quando não aplicadas tais </w:t>
      </w:r>
      <w:proofErr w:type="gramStart"/>
      <w:r w:rsidR="00D05FC0">
        <w:rPr>
          <w:rFonts w:ascii="Arial" w:hAnsi="Arial" w:cs="Arial"/>
          <w:i/>
          <w:color w:val="555555"/>
          <w:sz w:val="20"/>
          <w:szCs w:val="20"/>
        </w:rPr>
        <w:t xml:space="preserve">restrições) </w:t>
      </w:r>
      <w:r w:rsidRPr="009A6D5A">
        <w:rPr>
          <w:rFonts w:ascii="Arial" w:hAnsi="Arial" w:cs="Arial"/>
          <w:i/>
          <w:color w:val="555555"/>
          <w:sz w:val="20"/>
          <w:szCs w:val="20"/>
        </w:rPr>
        <w:t xml:space="preserve"> os</w:t>
      </w:r>
      <w:proofErr w:type="gramEnd"/>
      <w:r w:rsidRPr="009A6D5A">
        <w:rPr>
          <w:rFonts w:ascii="Arial" w:hAnsi="Arial" w:cs="Arial"/>
          <w:i/>
          <w:color w:val="555555"/>
          <w:sz w:val="20"/>
          <w:szCs w:val="20"/>
        </w:rPr>
        <w:t xml:space="preserve"> Incidentes foram admitidos pela TRU ou TNU e inadmitir, equivocadamente, o incidente? O que fazer? E se houver qualquer desvio de finalidade no ato de inadmissão, se a decisão que inadmitir for teratológica; se os juízes não estiverem dispostos a terem seu posicionamento revisto? Como aplicar o distinguinsh nesses casos?”</w:t>
      </w:r>
    </w:p>
    <w:p w:rsidR="00995F2B" w:rsidRPr="002E6496" w:rsidRDefault="00995F2B" w:rsidP="00995F2B">
      <w:pPr>
        <w:pStyle w:val="NormalWeb"/>
        <w:spacing w:before="0" w:beforeAutospacing="0" w:after="0" w:afterAutospacing="0"/>
        <w:ind w:left="147" w:firstLine="987"/>
        <w:jc w:val="both"/>
        <w:rPr>
          <w:rFonts w:ascii="Arial" w:hAnsi="Arial" w:cs="Arial"/>
          <w:color w:val="555555"/>
        </w:rPr>
      </w:pPr>
      <w:r>
        <w:rPr>
          <w:rFonts w:ascii="Arial" w:hAnsi="Arial" w:cs="Arial"/>
          <w:color w:val="555555"/>
        </w:rPr>
        <w:lastRenderedPageBreak/>
        <w:t>E a doutrina, citando Montesquieu, ainda chamou a atenção</w:t>
      </w:r>
      <w:r w:rsidR="000C2389">
        <w:rPr>
          <w:rFonts w:ascii="Arial" w:hAnsi="Arial" w:cs="Arial"/>
          <w:color w:val="555555"/>
        </w:rPr>
        <w:t xml:space="preserve"> para fato perigoso</w:t>
      </w:r>
      <w:r>
        <w:rPr>
          <w:rFonts w:ascii="Arial" w:hAnsi="Arial" w:cs="Arial"/>
          <w:color w:val="555555"/>
        </w:rPr>
        <w:t>:</w:t>
      </w:r>
    </w:p>
    <w:p w:rsidR="00995F2B" w:rsidRPr="008F6CB2" w:rsidRDefault="00995F2B" w:rsidP="00995F2B">
      <w:pPr>
        <w:pStyle w:val="NormalWeb"/>
        <w:spacing w:before="0" w:beforeAutospacing="0" w:after="0" w:afterAutospacing="0" w:line="240" w:lineRule="auto"/>
        <w:ind w:left="2268"/>
        <w:jc w:val="both"/>
        <w:rPr>
          <w:rStyle w:val="Forte"/>
          <w:rFonts w:ascii="Arial" w:hAnsi="Arial" w:cs="Arial"/>
          <w:b w:val="0"/>
          <w:i/>
          <w:color w:val="555555"/>
          <w:sz w:val="18"/>
          <w:szCs w:val="18"/>
        </w:rPr>
      </w:pPr>
      <w:bookmarkStart w:id="3" w:name="_ftnref1"/>
      <w:r w:rsidRPr="002E6496">
        <w:rPr>
          <w:rStyle w:val="Forte"/>
          <w:rFonts w:ascii="Arial" w:hAnsi="Arial" w:cs="Arial"/>
          <w:b w:val="0"/>
          <w:i/>
          <w:color w:val="555555"/>
          <w:sz w:val="18"/>
          <w:szCs w:val="18"/>
        </w:rPr>
        <w:t xml:space="preserve">“Montesquieu </w:t>
      </w:r>
      <w:bookmarkEnd w:id="3"/>
      <w:r w:rsidRPr="002E6496">
        <w:rPr>
          <w:rStyle w:val="Forte"/>
          <w:rFonts w:ascii="Arial" w:hAnsi="Arial" w:cs="Arial"/>
          <w:b w:val="0"/>
          <w:i/>
          <w:color w:val="555555"/>
          <w:sz w:val="18"/>
          <w:szCs w:val="18"/>
        </w:rPr>
        <w:t xml:space="preserve">á havia prelecionado que </w:t>
      </w:r>
      <w:r w:rsidRPr="008F6CB2">
        <w:rPr>
          <w:rStyle w:val="Forte"/>
          <w:rFonts w:ascii="Arial" w:hAnsi="Arial" w:cs="Arial"/>
          <w:i/>
          <w:color w:val="555555"/>
          <w:sz w:val="18"/>
          <w:szCs w:val="18"/>
        </w:rPr>
        <w:t>um juiz poderia tornar-se um déspota se soubesse que não seria possível controlar, de forma alguma, as suas decisões</w:t>
      </w:r>
      <w:proofErr w:type="gramStart"/>
      <w:r w:rsidRPr="002E6496">
        <w:rPr>
          <w:rStyle w:val="Forte"/>
          <w:rFonts w:ascii="Arial" w:hAnsi="Arial" w:cs="Arial"/>
          <w:b w:val="0"/>
          <w:i/>
          <w:color w:val="555555"/>
          <w:sz w:val="18"/>
          <w:szCs w:val="18"/>
        </w:rPr>
        <w:t>.”</w:t>
      </w:r>
      <w:r w:rsidR="008F6CB2">
        <w:rPr>
          <w:rStyle w:val="Forte"/>
          <w:rFonts w:ascii="Arial" w:hAnsi="Arial" w:cs="Arial"/>
          <w:b w:val="0"/>
          <w:i/>
          <w:color w:val="555555"/>
          <w:sz w:val="18"/>
          <w:szCs w:val="18"/>
        </w:rPr>
        <w:t>(</w:t>
      </w:r>
      <w:proofErr w:type="gramEnd"/>
      <w:r w:rsidR="008F6CB2">
        <w:rPr>
          <w:rStyle w:val="Forte"/>
          <w:rFonts w:ascii="Arial" w:hAnsi="Arial" w:cs="Arial"/>
          <w:b w:val="0"/>
          <w:i/>
          <w:color w:val="555555"/>
          <w:sz w:val="18"/>
          <w:szCs w:val="18"/>
        </w:rPr>
        <w:t xml:space="preserve"> grifamos)</w:t>
      </w:r>
    </w:p>
    <w:p w:rsidR="009C5132" w:rsidRPr="00641C60" w:rsidRDefault="009C5132" w:rsidP="009C5132">
      <w:pPr>
        <w:pStyle w:val="NormalWeb"/>
        <w:spacing w:before="0" w:beforeAutospacing="0" w:after="0" w:afterAutospacing="0" w:line="330" w:lineRule="atLeast"/>
        <w:jc w:val="both"/>
        <w:rPr>
          <w:rStyle w:val="Forte"/>
          <w:rFonts w:ascii="Arial" w:hAnsi="Arial" w:cs="Arial"/>
          <w:b w:val="0"/>
          <w:color w:val="000000" w:themeColor="text1"/>
        </w:rPr>
      </w:pPr>
      <w:r>
        <w:rPr>
          <w:rStyle w:val="Forte"/>
          <w:rFonts w:ascii="Arial" w:hAnsi="Arial" w:cs="Arial"/>
          <w:color w:val="000000" w:themeColor="text1"/>
        </w:rPr>
        <w:tab/>
      </w:r>
      <w:r w:rsidRPr="00641C60">
        <w:rPr>
          <w:rStyle w:val="Forte"/>
          <w:rFonts w:ascii="Arial" w:hAnsi="Arial" w:cs="Arial"/>
          <w:b w:val="0"/>
          <w:color w:val="000000" w:themeColor="text1"/>
        </w:rPr>
        <w:t>Questões como esta que segue printada</w:t>
      </w:r>
      <w:r w:rsidR="00641C60" w:rsidRPr="00641C60">
        <w:rPr>
          <w:rStyle w:val="Forte"/>
          <w:rFonts w:ascii="Arial" w:hAnsi="Arial" w:cs="Arial"/>
          <w:b w:val="0"/>
          <w:color w:val="000000" w:themeColor="text1"/>
        </w:rPr>
        <w:t xml:space="preserve"> (Fonte: </w:t>
      </w:r>
      <w:hyperlink r:id="rId11" w:history="1">
        <w:proofErr w:type="gramStart"/>
        <w:r w:rsidR="00641C60" w:rsidRPr="00641C60">
          <w:rPr>
            <w:rStyle w:val="Hyperlink"/>
            <w:rFonts w:ascii="Arial" w:hAnsi="Arial" w:cs="Arial"/>
            <w:b/>
          </w:rPr>
          <w:t>file:///C:/Users/Alan%20Macedo/Downloads/TNU18_web.pdf</w:t>
        </w:r>
      </w:hyperlink>
      <w:r w:rsidR="00641C60" w:rsidRPr="00641C60">
        <w:rPr>
          <w:rStyle w:val="Forte"/>
          <w:rFonts w:ascii="Arial" w:hAnsi="Arial" w:cs="Arial"/>
          <w:b w:val="0"/>
          <w:color w:val="000000" w:themeColor="text1"/>
        </w:rPr>
        <w:t xml:space="preserve">) </w:t>
      </w:r>
      <w:r w:rsidRPr="00641C60">
        <w:rPr>
          <w:rStyle w:val="Forte"/>
          <w:rFonts w:ascii="Arial" w:hAnsi="Arial" w:cs="Arial"/>
          <w:b w:val="0"/>
          <w:color w:val="000000" w:themeColor="text1"/>
        </w:rPr>
        <w:t xml:space="preserve"> não</w:t>
      </w:r>
      <w:proofErr w:type="gramEnd"/>
      <w:r w:rsidRPr="00641C60">
        <w:rPr>
          <w:rStyle w:val="Forte"/>
          <w:rFonts w:ascii="Arial" w:hAnsi="Arial" w:cs="Arial"/>
          <w:b w:val="0"/>
          <w:color w:val="000000" w:themeColor="text1"/>
        </w:rPr>
        <w:t xml:space="preserve"> poderão mais ser resolvidas pela TNU caso não sejam declarados inconstitucionais os dispositivos acima:</w:t>
      </w:r>
    </w:p>
    <w:p w:rsidR="009C5132" w:rsidRDefault="009C5132" w:rsidP="009C5132">
      <w:pPr>
        <w:pStyle w:val="NormalWeb"/>
        <w:spacing w:before="0" w:beforeAutospacing="0" w:after="0" w:afterAutospacing="0" w:line="330" w:lineRule="atLeast"/>
        <w:jc w:val="both"/>
        <w:rPr>
          <w:rStyle w:val="Forte"/>
          <w:rFonts w:ascii="Arial" w:hAnsi="Arial" w:cs="Arial"/>
          <w:color w:val="000000" w:themeColor="text1"/>
        </w:rPr>
      </w:pPr>
    </w:p>
    <w:p w:rsidR="009C5132" w:rsidRDefault="00045FFF" w:rsidP="00045FFF">
      <w:pPr>
        <w:pStyle w:val="NormalWeb"/>
        <w:spacing w:before="0" w:beforeAutospacing="0" w:after="0" w:afterAutospacing="0" w:line="330" w:lineRule="atLeast"/>
        <w:ind w:left="-709"/>
        <w:jc w:val="both"/>
        <w:rPr>
          <w:rStyle w:val="Forte"/>
          <w:rFonts w:ascii="Arial" w:hAnsi="Arial" w:cs="Arial"/>
          <w:color w:val="000000" w:themeColor="text1"/>
        </w:rPr>
      </w:pPr>
      <w:r>
        <w:rPr>
          <w:noProof/>
        </w:rPr>
        <w:drawing>
          <wp:inline distT="0" distB="0" distL="0" distR="0" wp14:anchorId="4D0590D1" wp14:editId="69917F95">
            <wp:extent cx="6384290" cy="4087413"/>
            <wp:effectExtent l="0" t="0" r="0" b="889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241" t="19070" r="8399"/>
                    <a:stretch/>
                  </pic:blipFill>
                  <pic:spPr bwMode="auto">
                    <a:xfrm>
                      <a:off x="0" y="0"/>
                      <a:ext cx="6423937" cy="4112796"/>
                    </a:xfrm>
                    <a:prstGeom prst="rect">
                      <a:avLst/>
                    </a:prstGeom>
                    <a:ln>
                      <a:noFill/>
                    </a:ln>
                    <a:extLst>
                      <a:ext uri="{53640926-AAD7-44D8-BBD7-CCE9431645EC}">
                        <a14:shadowObscured xmlns:a14="http://schemas.microsoft.com/office/drawing/2010/main"/>
                      </a:ext>
                    </a:extLst>
                  </pic:spPr>
                </pic:pic>
              </a:graphicData>
            </a:graphic>
          </wp:inline>
        </w:drawing>
      </w:r>
    </w:p>
    <w:p w:rsidR="009C5132" w:rsidRDefault="009C5132" w:rsidP="00CA121E">
      <w:pPr>
        <w:pStyle w:val="NormalWeb"/>
        <w:spacing w:before="0" w:beforeAutospacing="0" w:after="0" w:afterAutospacing="0" w:line="330" w:lineRule="atLeast"/>
        <w:ind w:firstLine="1276"/>
        <w:jc w:val="both"/>
        <w:rPr>
          <w:rStyle w:val="Forte"/>
          <w:rFonts w:ascii="Arial" w:hAnsi="Arial" w:cs="Arial"/>
          <w:color w:val="000000" w:themeColor="text1"/>
        </w:rPr>
      </w:pPr>
    </w:p>
    <w:p w:rsidR="009C5132" w:rsidRDefault="009C5132" w:rsidP="00CA121E">
      <w:pPr>
        <w:pStyle w:val="NormalWeb"/>
        <w:spacing w:before="0" w:beforeAutospacing="0" w:after="0" w:afterAutospacing="0" w:line="330" w:lineRule="atLeast"/>
        <w:ind w:firstLine="1276"/>
        <w:jc w:val="both"/>
        <w:rPr>
          <w:rStyle w:val="Forte"/>
          <w:rFonts w:ascii="Arial" w:hAnsi="Arial" w:cs="Arial"/>
          <w:color w:val="000000" w:themeColor="text1"/>
        </w:rPr>
      </w:pPr>
    </w:p>
    <w:p w:rsidR="00697B3B" w:rsidRDefault="00697B3B" w:rsidP="00CA121E">
      <w:pPr>
        <w:pStyle w:val="NormalWeb"/>
        <w:spacing w:before="0" w:beforeAutospacing="0" w:after="0" w:afterAutospacing="0" w:line="330" w:lineRule="atLeast"/>
        <w:ind w:firstLine="1276"/>
        <w:jc w:val="both"/>
        <w:rPr>
          <w:rStyle w:val="Forte"/>
          <w:rFonts w:ascii="Arial" w:hAnsi="Arial" w:cs="Arial"/>
          <w:b w:val="0"/>
          <w:color w:val="000000" w:themeColor="text1"/>
        </w:rPr>
      </w:pPr>
    </w:p>
    <w:p w:rsidR="00697B3B" w:rsidRDefault="00697B3B" w:rsidP="00CA121E">
      <w:pPr>
        <w:pStyle w:val="NormalWeb"/>
        <w:spacing w:before="0" w:beforeAutospacing="0" w:after="0" w:afterAutospacing="0" w:line="330" w:lineRule="atLeast"/>
        <w:ind w:firstLine="1276"/>
        <w:jc w:val="both"/>
        <w:rPr>
          <w:rStyle w:val="Forte"/>
          <w:rFonts w:ascii="Arial" w:hAnsi="Arial" w:cs="Arial"/>
          <w:b w:val="0"/>
          <w:color w:val="000000" w:themeColor="text1"/>
        </w:rPr>
      </w:pPr>
    </w:p>
    <w:p w:rsidR="00697B3B" w:rsidRDefault="00697B3B" w:rsidP="00CA121E">
      <w:pPr>
        <w:pStyle w:val="NormalWeb"/>
        <w:spacing w:before="0" w:beforeAutospacing="0" w:after="0" w:afterAutospacing="0" w:line="330" w:lineRule="atLeast"/>
        <w:ind w:firstLine="1276"/>
        <w:jc w:val="both"/>
        <w:rPr>
          <w:rStyle w:val="Forte"/>
          <w:rFonts w:ascii="Arial" w:hAnsi="Arial" w:cs="Arial"/>
          <w:b w:val="0"/>
          <w:color w:val="000000" w:themeColor="text1"/>
        </w:rPr>
      </w:pPr>
    </w:p>
    <w:p w:rsidR="00697B3B" w:rsidRDefault="00697B3B" w:rsidP="00CA121E">
      <w:pPr>
        <w:pStyle w:val="NormalWeb"/>
        <w:spacing w:before="0" w:beforeAutospacing="0" w:after="0" w:afterAutospacing="0" w:line="330" w:lineRule="atLeast"/>
        <w:ind w:firstLine="1276"/>
        <w:jc w:val="both"/>
        <w:rPr>
          <w:rStyle w:val="Forte"/>
          <w:rFonts w:ascii="Arial" w:hAnsi="Arial" w:cs="Arial"/>
          <w:b w:val="0"/>
          <w:color w:val="000000" w:themeColor="text1"/>
        </w:rPr>
      </w:pPr>
    </w:p>
    <w:p w:rsidR="00697B3B" w:rsidRDefault="00697B3B" w:rsidP="00CA121E">
      <w:pPr>
        <w:pStyle w:val="NormalWeb"/>
        <w:spacing w:before="0" w:beforeAutospacing="0" w:after="0" w:afterAutospacing="0" w:line="330" w:lineRule="atLeast"/>
        <w:ind w:firstLine="1276"/>
        <w:jc w:val="both"/>
        <w:rPr>
          <w:rStyle w:val="Forte"/>
          <w:rFonts w:ascii="Arial" w:hAnsi="Arial" w:cs="Arial"/>
          <w:b w:val="0"/>
          <w:color w:val="000000" w:themeColor="text1"/>
        </w:rPr>
      </w:pPr>
    </w:p>
    <w:p w:rsidR="00697B3B" w:rsidRDefault="00697B3B" w:rsidP="00CA121E">
      <w:pPr>
        <w:pStyle w:val="NormalWeb"/>
        <w:spacing w:before="0" w:beforeAutospacing="0" w:after="0" w:afterAutospacing="0" w:line="330" w:lineRule="atLeast"/>
        <w:ind w:firstLine="1276"/>
        <w:jc w:val="both"/>
        <w:rPr>
          <w:rStyle w:val="Forte"/>
          <w:rFonts w:ascii="Arial" w:hAnsi="Arial" w:cs="Arial"/>
          <w:b w:val="0"/>
          <w:color w:val="000000" w:themeColor="text1"/>
        </w:rPr>
      </w:pPr>
    </w:p>
    <w:p w:rsidR="00697B3B" w:rsidRDefault="00697B3B" w:rsidP="00CA121E">
      <w:pPr>
        <w:pStyle w:val="NormalWeb"/>
        <w:spacing w:before="0" w:beforeAutospacing="0" w:after="0" w:afterAutospacing="0" w:line="330" w:lineRule="atLeast"/>
        <w:ind w:firstLine="1276"/>
        <w:jc w:val="both"/>
        <w:rPr>
          <w:rStyle w:val="Forte"/>
          <w:rFonts w:ascii="Arial" w:hAnsi="Arial" w:cs="Arial"/>
          <w:b w:val="0"/>
          <w:color w:val="000000" w:themeColor="text1"/>
        </w:rPr>
      </w:pPr>
    </w:p>
    <w:p w:rsidR="00697B3B" w:rsidRDefault="00697B3B" w:rsidP="00CA121E">
      <w:pPr>
        <w:pStyle w:val="NormalWeb"/>
        <w:spacing w:before="0" w:beforeAutospacing="0" w:after="0" w:afterAutospacing="0" w:line="330" w:lineRule="atLeast"/>
        <w:ind w:firstLine="1276"/>
        <w:jc w:val="both"/>
        <w:rPr>
          <w:rStyle w:val="Forte"/>
          <w:rFonts w:ascii="Arial" w:hAnsi="Arial" w:cs="Arial"/>
          <w:b w:val="0"/>
          <w:color w:val="000000" w:themeColor="text1"/>
        </w:rPr>
      </w:pPr>
    </w:p>
    <w:p w:rsidR="00697B3B" w:rsidRDefault="00697B3B" w:rsidP="00CA121E">
      <w:pPr>
        <w:pStyle w:val="NormalWeb"/>
        <w:spacing w:before="0" w:beforeAutospacing="0" w:after="0" w:afterAutospacing="0" w:line="330" w:lineRule="atLeast"/>
        <w:ind w:firstLine="1276"/>
        <w:jc w:val="both"/>
        <w:rPr>
          <w:rStyle w:val="Forte"/>
          <w:rFonts w:ascii="Arial" w:hAnsi="Arial" w:cs="Arial"/>
          <w:b w:val="0"/>
          <w:color w:val="000000" w:themeColor="text1"/>
        </w:rPr>
      </w:pPr>
    </w:p>
    <w:p w:rsidR="00697B3B" w:rsidRDefault="00697B3B" w:rsidP="00CA121E">
      <w:pPr>
        <w:pStyle w:val="NormalWeb"/>
        <w:spacing w:before="0" w:beforeAutospacing="0" w:after="0" w:afterAutospacing="0" w:line="330" w:lineRule="atLeast"/>
        <w:ind w:firstLine="1276"/>
        <w:jc w:val="both"/>
        <w:rPr>
          <w:rStyle w:val="Forte"/>
          <w:rFonts w:ascii="Arial" w:hAnsi="Arial" w:cs="Arial"/>
          <w:b w:val="0"/>
          <w:color w:val="000000" w:themeColor="text1"/>
        </w:rPr>
      </w:pPr>
    </w:p>
    <w:p w:rsidR="00CA121E" w:rsidRDefault="00CA121E" w:rsidP="00CA121E">
      <w:pPr>
        <w:pStyle w:val="NormalWeb"/>
        <w:spacing w:before="0" w:beforeAutospacing="0" w:after="0" w:afterAutospacing="0" w:line="330" w:lineRule="atLeast"/>
        <w:ind w:firstLine="1276"/>
        <w:jc w:val="both"/>
        <w:rPr>
          <w:rStyle w:val="Forte"/>
          <w:rFonts w:ascii="Arial" w:hAnsi="Arial" w:cs="Arial"/>
          <w:b w:val="0"/>
          <w:color w:val="000000" w:themeColor="text1"/>
        </w:rPr>
      </w:pPr>
      <w:r w:rsidRPr="00CA121E">
        <w:rPr>
          <w:rStyle w:val="Forte"/>
          <w:rFonts w:ascii="Arial" w:hAnsi="Arial" w:cs="Arial"/>
          <w:b w:val="0"/>
          <w:color w:val="000000" w:themeColor="text1"/>
        </w:rPr>
        <w:t xml:space="preserve">Pelo exposto, </w:t>
      </w:r>
      <w:r w:rsidR="000C2389" w:rsidRPr="00CA121E">
        <w:rPr>
          <w:rStyle w:val="Forte"/>
          <w:rFonts w:ascii="Arial" w:hAnsi="Arial" w:cs="Arial"/>
          <w:b w:val="0"/>
          <w:color w:val="000000" w:themeColor="text1"/>
        </w:rPr>
        <w:t>requer:</w:t>
      </w:r>
      <w:r w:rsidR="000C2389">
        <w:rPr>
          <w:rStyle w:val="Forte"/>
          <w:rFonts w:ascii="Arial" w:hAnsi="Arial" w:cs="Arial"/>
          <w:b w:val="0"/>
          <w:color w:val="000000" w:themeColor="text1"/>
        </w:rPr>
        <w:t xml:space="preserve"> </w:t>
      </w:r>
    </w:p>
    <w:p w:rsidR="000C2389" w:rsidRPr="00CA121E" w:rsidRDefault="000C2389" w:rsidP="00CA121E">
      <w:pPr>
        <w:pStyle w:val="NormalWeb"/>
        <w:spacing w:before="0" w:beforeAutospacing="0" w:after="0" w:afterAutospacing="0" w:line="330" w:lineRule="atLeast"/>
        <w:ind w:firstLine="1276"/>
        <w:jc w:val="both"/>
        <w:rPr>
          <w:rStyle w:val="Forte"/>
          <w:rFonts w:ascii="Arial" w:hAnsi="Arial" w:cs="Arial"/>
          <w:b w:val="0"/>
          <w:color w:val="000000" w:themeColor="text1"/>
        </w:rPr>
      </w:pPr>
    </w:p>
    <w:p w:rsidR="00995F2B" w:rsidRDefault="00CA121E" w:rsidP="00CA121E">
      <w:pPr>
        <w:pStyle w:val="NormalWeb"/>
        <w:numPr>
          <w:ilvl w:val="0"/>
          <w:numId w:val="23"/>
        </w:numPr>
        <w:spacing w:before="0" w:beforeAutospacing="0" w:after="0" w:afterAutospacing="0" w:line="330" w:lineRule="atLeast"/>
        <w:jc w:val="both"/>
        <w:rPr>
          <w:rStyle w:val="Forte"/>
          <w:rFonts w:ascii="Arial" w:hAnsi="Arial" w:cs="Arial"/>
          <w:b w:val="0"/>
          <w:color w:val="000000" w:themeColor="text1"/>
        </w:rPr>
      </w:pPr>
      <w:r w:rsidRPr="00CA121E">
        <w:rPr>
          <w:rStyle w:val="Forte"/>
          <w:rFonts w:ascii="Arial" w:hAnsi="Arial" w:cs="Arial"/>
          <w:b w:val="0"/>
          <w:color w:val="000000" w:themeColor="text1"/>
        </w:rPr>
        <w:t xml:space="preserve">Seja </w:t>
      </w:r>
      <w:r w:rsidRPr="00641C60">
        <w:rPr>
          <w:rStyle w:val="Forte"/>
          <w:rFonts w:ascii="Arial" w:hAnsi="Arial" w:cs="Arial"/>
          <w:color w:val="000000" w:themeColor="text1"/>
        </w:rPr>
        <w:t>declarado incidentalmente inconstitucional o §2º do art. 15 da Resolução 345/2015 do CJF</w:t>
      </w:r>
      <w:r w:rsidRPr="00CA121E">
        <w:rPr>
          <w:rStyle w:val="Forte"/>
          <w:rFonts w:ascii="Arial" w:hAnsi="Arial" w:cs="Arial"/>
          <w:b w:val="0"/>
          <w:color w:val="000000" w:themeColor="text1"/>
        </w:rPr>
        <w:t xml:space="preserve"> para que se retorne ao </w:t>
      </w:r>
      <w:r w:rsidRPr="00CA121E">
        <w:rPr>
          <w:rStyle w:val="Forte"/>
          <w:rFonts w:ascii="Arial" w:hAnsi="Arial" w:cs="Arial"/>
          <w:b w:val="0"/>
          <w:i/>
          <w:color w:val="000000" w:themeColor="text1"/>
        </w:rPr>
        <w:t>status quo ante</w:t>
      </w:r>
      <w:r w:rsidR="000C2389">
        <w:rPr>
          <w:rStyle w:val="Forte"/>
          <w:rFonts w:ascii="Arial" w:hAnsi="Arial" w:cs="Arial"/>
          <w:b w:val="0"/>
          <w:i/>
          <w:color w:val="000000" w:themeColor="text1"/>
        </w:rPr>
        <w:t>,</w:t>
      </w:r>
      <w:r w:rsidRPr="00CA121E">
        <w:rPr>
          <w:rStyle w:val="Forte"/>
          <w:rFonts w:ascii="Arial" w:hAnsi="Arial" w:cs="Arial"/>
          <w:b w:val="0"/>
          <w:color w:val="000000" w:themeColor="text1"/>
        </w:rPr>
        <w:t xml:space="preserve"> em que era possível interpor agravo</w:t>
      </w:r>
      <w:r w:rsidR="000C2389">
        <w:rPr>
          <w:rStyle w:val="Forte"/>
          <w:rFonts w:ascii="Arial" w:hAnsi="Arial" w:cs="Arial"/>
          <w:b w:val="0"/>
          <w:color w:val="000000" w:themeColor="text1"/>
        </w:rPr>
        <w:t xml:space="preserve"> interno</w:t>
      </w:r>
      <w:r w:rsidRPr="00CA121E">
        <w:rPr>
          <w:rStyle w:val="Forte"/>
          <w:rFonts w:ascii="Arial" w:hAnsi="Arial" w:cs="Arial"/>
          <w:b w:val="0"/>
          <w:color w:val="000000" w:themeColor="text1"/>
        </w:rPr>
        <w:t xml:space="preserve"> ao Presidente da TNU ou Relator quando inadmitido o Incidente</w:t>
      </w:r>
      <w:r w:rsidR="000C2389">
        <w:rPr>
          <w:rStyle w:val="Forte"/>
          <w:rFonts w:ascii="Arial" w:hAnsi="Arial" w:cs="Arial"/>
          <w:b w:val="0"/>
          <w:color w:val="000000" w:themeColor="text1"/>
        </w:rPr>
        <w:t xml:space="preserve"> pela Turma Recursal, em todos os casos de inadmissão</w:t>
      </w:r>
      <w:r w:rsidRPr="00CA121E">
        <w:rPr>
          <w:rStyle w:val="Forte"/>
          <w:rFonts w:ascii="Arial" w:hAnsi="Arial" w:cs="Arial"/>
          <w:b w:val="0"/>
          <w:color w:val="000000" w:themeColor="text1"/>
        </w:rPr>
        <w:t>;</w:t>
      </w:r>
    </w:p>
    <w:p w:rsidR="000C2389" w:rsidRPr="00CA121E" w:rsidRDefault="000C2389" w:rsidP="000C2389">
      <w:pPr>
        <w:pStyle w:val="NormalWeb"/>
        <w:spacing w:before="0" w:beforeAutospacing="0" w:after="0" w:afterAutospacing="0" w:line="330" w:lineRule="atLeast"/>
        <w:ind w:left="720"/>
        <w:jc w:val="both"/>
        <w:rPr>
          <w:rStyle w:val="Forte"/>
          <w:rFonts w:ascii="Arial" w:hAnsi="Arial" w:cs="Arial"/>
          <w:b w:val="0"/>
          <w:color w:val="000000" w:themeColor="text1"/>
        </w:rPr>
      </w:pPr>
    </w:p>
    <w:p w:rsidR="001A605D" w:rsidRPr="00CA121E" w:rsidRDefault="00142EB3" w:rsidP="001030BD">
      <w:pPr>
        <w:pStyle w:val="NormalWeb"/>
        <w:numPr>
          <w:ilvl w:val="0"/>
          <w:numId w:val="23"/>
        </w:numPr>
        <w:spacing w:before="0" w:beforeAutospacing="0" w:after="0" w:afterAutospacing="0" w:line="330" w:lineRule="atLeast"/>
        <w:jc w:val="both"/>
        <w:rPr>
          <w:rStyle w:val="Forte"/>
          <w:rFonts w:ascii="Arial" w:hAnsi="Arial" w:cs="Arial"/>
          <w:b w:val="0"/>
          <w:color w:val="000000" w:themeColor="text1"/>
        </w:rPr>
      </w:pPr>
      <w:r w:rsidRPr="00641C60">
        <w:rPr>
          <w:rStyle w:val="Forte"/>
          <w:rFonts w:ascii="Arial" w:hAnsi="Arial" w:cs="Arial"/>
          <w:color w:val="000000" w:themeColor="text1"/>
        </w:rPr>
        <w:t>Sejam declarados Incidentalmente inconstitucionais</w:t>
      </w:r>
      <w:r w:rsidR="00E36CEB" w:rsidRPr="00641C60">
        <w:rPr>
          <w:rStyle w:val="Forte"/>
          <w:rFonts w:ascii="Arial" w:hAnsi="Arial" w:cs="Arial"/>
          <w:color w:val="000000" w:themeColor="text1"/>
        </w:rPr>
        <w:t xml:space="preserve"> (por usurpação de competência e ofensa ao art. </w:t>
      </w:r>
      <w:r w:rsidR="00CE42E1" w:rsidRPr="00641C60">
        <w:rPr>
          <w:rStyle w:val="Forte"/>
          <w:rFonts w:ascii="Arial" w:hAnsi="Arial" w:cs="Arial"/>
          <w:color w:val="000000" w:themeColor="text1"/>
        </w:rPr>
        <w:t>22, I</w:t>
      </w:r>
      <w:r w:rsidR="00E36CEB" w:rsidRPr="00641C60">
        <w:rPr>
          <w:rStyle w:val="Forte"/>
          <w:rFonts w:ascii="Arial" w:hAnsi="Arial" w:cs="Arial"/>
          <w:color w:val="000000" w:themeColor="text1"/>
        </w:rPr>
        <w:t xml:space="preserve"> da </w:t>
      </w:r>
      <w:proofErr w:type="gramStart"/>
      <w:r w:rsidR="00E36CEB" w:rsidRPr="00641C60">
        <w:rPr>
          <w:rStyle w:val="Forte"/>
          <w:rFonts w:ascii="Arial" w:hAnsi="Arial" w:cs="Arial"/>
          <w:color w:val="000000" w:themeColor="text1"/>
        </w:rPr>
        <w:t xml:space="preserve">CF) </w:t>
      </w:r>
      <w:r w:rsidRPr="00641C60">
        <w:rPr>
          <w:rStyle w:val="Forte"/>
          <w:rFonts w:ascii="Arial" w:hAnsi="Arial" w:cs="Arial"/>
          <w:color w:val="000000" w:themeColor="text1"/>
        </w:rPr>
        <w:t xml:space="preserve"> os</w:t>
      </w:r>
      <w:proofErr w:type="gramEnd"/>
      <w:r w:rsidRPr="00641C60">
        <w:rPr>
          <w:rStyle w:val="Forte"/>
          <w:rFonts w:ascii="Arial" w:hAnsi="Arial" w:cs="Arial"/>
          <w:color w:val="000000" w:themeColor="text1"/>
        </w:rPr>
        <w:t xml:space="preserve"> arts. 46 </w:t>
      </w:r>
      <w:r w:rsidR="00E36CEB" w:rsidRPr="00641C60">
        <w:rPr>
          <w:rStyle w:val="Forte"/>
          <w:rFonts w:ascii="Arial" w:hAnsi="Arial" w:cs="Arial"/>
          <w:color w:val="000000" w:themeColor="text1"/>
        </w:rPr>
        <w:t>(e</w:t>
      </w:r>
      <w:r w:rsidRPr="00641C60">
        <w:rPr>
          <w:rStyle w:val="Forte"/>
          <w:rFonts w:ascii="Arial" w:hAnsi="Arial" w:cs="Arial"/>
          <w:color w:val="000000" w:themeColor="text1"/>
        </w:rPr>
        <w:t xml:space="preserve"> incisos) e 47 da Resolução 345/2015 do CJF</w:t>
      </w:r>
      <w:r>
        <w:rPr>
          <w:rStyle w:val="Forte"/>
          <w:rFonts w:ascii="Arial" w:hAnsi="Arial" w:cs="Arial"/>
          <w:b w:val="0"/>
          <w:color w:val="000000" w:themeColor="text1"/>
        </w:rPr>
        <w:t xml:space="preserve"> que restringe o uso da </w:t>
      </w:r>
      <w:proofErr w:type="gramStart"/>
      <w:r>
        <w:rPr>
          <w:rStyle w:val="Forte"/>
          <w:rFonts w:ascii="Arial" w:hAnsi="Arial" w:cs="Arial"/>
          <w:b w:val="0"/>
          <w:color w:val="000000" w:themeColor="text1"/>
        </w:rPr>
        <w:t>“ Reclamação</w:t>
      </w:r>
      <w:proofErr w:type="gramEnd"/>
      <w:r>
        <w:rPr>
          <w:rStyle w:val="Forte"/>
          <w:rFonts w:ascii="Arial" w:hAnsi="Arial" w:cs="Arial"/>
          <w:b w:val="0"/>
          <w:color w:val="000000" w:themeColor="text1"/>
        </w:rPr>
        <w:t xml:space="preserve">”, legislando atipicamente, contrária restritivamente ao Legislador originário e competente no art. </w:t>
      </w:r>
      <w:r w:rsidR="001A605D">
        <w:rPr>
          <w:rStyle w:val="Forte"/>
          <w:rFonts w:ascii="Arial" w:hAnsi="Arial" w:cs="Arial"/>
          <w:b w:val="0"/>
          <w:color w:val="000000" w:themeColor="text1"/>
        </w:rPr>
        <w:t xml:space="preserve"> </w:t>
      </w:r>
      <w:r w:rsidR="001030BD">
        <w:rPr>
          <w:rStyle w:val="Forte"/>
          <w:rFonts w:ascii="Arial" w:hAnsi="Arial" w:cs="Arial"/>
          <w:b w:val="0"/>
          <w:color w:val="000000" w:themeColor="text1"/>
        </w:rPr>
        <w:t xml:space="preserve">988, I, II, III e IV do NCPC, que enumera alternativamente as hipóteses de uso do Instituto e não restringe como fez o CJF diante do seu poder, meramente, regulamentar. </w:t>
      </w:r>
    </w:p>
    <w:p w:rsidR="00995F2B" w:rsidRDefault="00995F2B" w:rsidP="0049209B">
      <w:pPr>
        <w:autoSpaceDE w:val="0"/>
        <w:autoSpaceDN w:val="0"/>
        <w:adjustRightInd w:val="0"/>
        <w:ind w:left="33" w:firstLine="1101"/>
        <w:jc w:val="both"/>
        <w:rPr>
          <w:rFonts w:ascii="Arial" w:hAnsi="Arial" w:cs="Arial"/>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5839B9" w:rsidRDefault="005839B9" w:rsidP="00C0665D">
      <w:pPr>
        <w:tabs>
          <w:tab w:val="left" w:pos="720"/>
        </w:tabs>
        <w:spacing w:line="240" w:lineRule="auto"/>
        <w:ind w:left="357"/>
        <w:jc w:val="both"/>
        <w:rPr>
          <w:rFonts w:ascii="Arial" w:eastAsia="HG Mincho Light J" w:hAnsi="Arial" w:cs="Arial"/>
          <w:b/>
          <w:color w:val="000000"/>
        </w:rPr>
      </w:pPr>
    </w:p>
    <w:p w:rsidR="00C52B8B" w:rsidRDefault="00C52B8B" w:rsidP="00C0665D">
      <w:pPr>
        <w:tabs>
          <w:tab w:val="left" w:pos="720"/>
        </w:tabs>
        <w:spacing w:line="240" w:lineRule="auto"/>
        <w:ind w:left="357"/>
        <w:jc w:val="both"/>
        <w:rPr>
          <w:rFonts w:ascii="Arial" w:eastAsia="HG Mincho Light J" w:hAnsi="Arial" w:cs="Arial"/>
          <w:b/>
          <w:color w:val="000000"/>
        </w:rPr>
      </w:pPr>
      <w:r w:rsidRPr="006376C6">
        <w:rPr>
          <w:rFonts w:ascii="Arial" w:eastAsia="HG Mincho Light J" w:hAnsi="Arial" w:cs="Arial"/>
          <w:b/>
          <w:color w:val="000000"/>
        </w:rPr>
        <w:lastRenderedPageBreak/>
        <w:t>4.1. DO COTEJO ANALÍTICO QUANTO AO</w:t>
      </w:r>
      <w:r w:rsidR="00752344">
        <w:rPr>
          <w:rFonts w:ascii="Arial" w:eastAsia="HG Mincho Light J" w:hAnsi="Arial" w:cs="Arial"/>
          <w:b/>
          <w:color w:val="000000"/>
        </w:rPr>
        <w:t>S</w:t>
      </w:r>
      <w:r w:rsidRPr="006376C6">
        <w:rPr>
          <w:rFonts w:ascii="Arial" w:eastAsia="HG Mincho Light J" w:hAnsi="Arial" w:cs="Arial"/>
          <w:b/>
          <w:color w:val="000000"/>
        </w:rPr>
        <w:t xml:space="preserve"> </w:t>
      </w:r>
      <w:r w:rsidR="00752344">
        <w:rPr>
          <w:rFonts w:ascii="Arial" w:eastAsia="HG Mincho Light J" w:hAnsi="Arial" w:cs="Arial"/>
          <w:b/>
          <w:color w:val="000000"/>
        </w:rPr>
        <w:t>PRECEDENTES</w:t>
      </w:r>
      <w:r w:rsidRPr="006376C6">
        <w:rPr>
          <w:rFonts w:ascii="Arial" w:eastAsia="HG Mincho Light J" w:hAnsi="Arial" w:cs="Arial"/>
          <w:b/>
          <w:color w:val="000000"/>
        </w:rPr>
        <w:t xml:space="preserve"> DA TURMA RECURSAL EM CONFRONTO COM OS ACÓRDÃOS PARDIGMAS </w:t>
      </w:r>
      <w:r w:rsidR="00752344">
        <w:rPr>
          <w:rFonts w:ascii="Arial" w:eastAsia="HG Mincho Light J" w:hAnsi="Arial" w:cs="Arial"/>
          <w:b/>
          <w:color w:val="000000"/>
        </w:rPr>
        <w:t>DESTE TRIBUNAL</w:t>
      </w:r>
      <w:r w:rsidR="000B4EEB">
        <w:rPr>
          <w:rFonts w:ascii="Arial" w:eastAsia="HG Mincho Light J" w:hAnsi="Arial" w:cs="Arial"/>
          <w:b/>
          <w:color w:val="000000"/>
        </w:rPr>
        <w:t xml:space="preserve"> E DO STJ</w:t>
      </w:r>
      <w:r w:rsidRPr="006376C6">
        <w:rPr>
          <w:rFonts w:ascii="Arial" w:eastAsia="HG Mincho Light J" w:hAnsi="Arial" w:cs="Arial"/>
          <w:b/>
          <w:color w:val="000000"/>
        </w:rPr>
        <w:t>:</w:t>
      </w:r>
    </w:p>
    <w:p w:rsidR="00CE42E1" w:rsidRPr="00CE42E1" w:rsidRDefault="00CE42E1" w:rsidP="00C52B8B">
      <w:pPr>
        <w:tabs>
          <w:tab w:val="left" w:pos="720"/>
        </w:tabs>
        <w:ind w:left="360"/>
        <w:jc w:val="both"/>
        <w:rPr>
          <w:rFonts w:ascii="Arial" w:eastAsia="HG Mincho Light J" w:hAnsi="Arial" w:cs="Arial"/>
          <w:color w:val="000000"/>
        </w:rPr>
      </w:pPr>
    </w:p>
    <w:p w:rsidR="00CE42E1" w:rsidRDefault="00CE42E1" w:rsidP="00C0665D">
      <w:pPr>
        <w:tabs>
          <w:tab w:val="left" w:pos="720"/>
        </w:tabs>
        <w:ind w:firstLine="1134"/>
        <w:jc w:val="both"/>
        <w:rPr>
          <w:rFonts w:ascii="Arial" w:eastAsia="HG Mincho Light J" w:hAnsi="Arial" w:cs="Arial"/>
          <w:color w:val="000000"/>
        </w:rPr>
      </w:pPr>
      <w:r w:rsidRPr="00CE42E1">
        <w:rPr>
          <w:rFonts w:ascii="Arial" w:eastAsia="HG Mincho Light J" w:hAnsi="Arial" w:cs="Arial"/>
          <w:color w:val="000000"/>
        </w:rPr>
        <w:tab/>
        <w:t>É cediço que o legislador</w:t>
      </w:r>
      <w:r>
        <w:rPr>
          <w:rFonts w:ascii="Arial" w:eastAsia="HG Mincho Light J" w:hAnsi="Arial" w:cs="Arial"/>
          <w:color w:val="000000"/>
        </w:rPr>
        <w:t xml:space="preserve">, no NCPC, não exigiu que se fizesse qualquer </w:t>
      </w:r>
      <w:r w:rsidR="00C0665D">
        <w:rPr>
          <w:rFonts w:ascii="Arial" w:eastAsia="HG Mincho Light J" w:hAnsi="Arial" w:cs="Arial"/>
          <w:color w:val="000000"/>
        </w:rPr>
        <w:t>cotejo analítico entre julgados paradigmas e a decisão que se confronta com aqueles para uniformização da jurisprudência. Isso por que o IRDR é diferente do PEDILEF, como dito anteriormente.</w:t>
      </w:r>
    </w:p>
    <w:p w:rsidR="00C0665D" w:rsidRDefault="00C0665D" w:rsidP="00C0665D">
      <w:pPr>
        <w:tabs>
          <w:tab w:val="left" w:pos="720"/>
        </w:tabs>
        <w:ind w:firstLine="1134"/>
        <w:jc w:val="both"/>
        <w:rPr>
          <w:rFonts w:ascii="Arial" w:eastAsia="HG Mincho Light J" w:hAnsi="Arial" w:cs="Arial"/>
          <w:color w:val="000000"/>
        </w:rPr>
      </w:pPr>
      <w:r>
        <w:rPr>
          <w:rFonts w:ascii="Arial" w:eastAsia="HG Mincho Light J" w:hAnsi="Arial" w:cs="Arial"/>
          <w:color w:val="000000"/>
        </w:rPr>
        <w:t xml:space="preserve">No entanto, para colaborar com este Colegiado, trazemos à baila </w:t>
      </w:r>
      <w:r w:rsidR="00304D68">
        <w:rPr>
          <w:rFonts w:ascii="Arial" w:eastAsia="HG Mincho Light J" w:hAnsi="Arial" w:cs="Arial"/>
          <w:color w:val="000000"/>
        </w:rPr>
        <w:t xml:space="preserve">precedentes desse Tribunal que já trabalham as teses fixadas pela TNU e </w:t>
      </w:r>
      <w:r w:rsidR="00641C60">
        <w:rPr>
          <w:rFonts w:ascii="Arial" w:eastAsia="HG Mincho Light J" w:hAnsi="Arial" w:cs="Arial"/>
          <w:color w:val="000000"/>
        </w:rPr>
        <w:t>STJ,</w:t>
      </w:r>
      <w:r w:rsidR="00304D68">
        <w:rPr>
          <w:rFonts w:ascii="Arial" w:eastAsia="HG Mincho Light J" w:hAnsi="Arial" w:cs="Arial"/>
          <w:color w:val="000000"/>
        </w:rPr>
        <w:t xml:space="preserve"> porém de forma aleatória, ou seja, não vinculativa. Daí a necessidade, consoante a </w:t>
      </w:r>
      <w:r w:rsidR="00160903">
        <w:rPr>
          <w:rFonts w:ascii="Arial" w:eastAsia="HG Mincho Light J" w:hAnsi="Arial" w:cs="Arial"/>
          <w:color w:val="000000"/>
        </w:rPr>
        <w:t xml:space="preserve">doutrina dos precedentes, de se fixarem tais teses no âmbito do IRDR para que se alcancem as tão </w:t>
      </w:r>
      <w:proofErr w:type="gramStart"/>
      <w:r w:rsidR="00160903">
        <w:rPr>
          <w:rFonts w:ascii="Arial" w:eastAsia="HG Mincho Light J" w:hAnsi="Arial" w:cs="Arial"/>
          <w:color w:val="000000"/>
        </w:rPr>
        <w:t>sonhadas isonomia</w:t>
      </w:r>
      <w:proofErr w:type="gramEnd"/>
      <w:r w:rsidR="00160903">
        <w:rPr>
          <w:rFonts w:ascii="Arial" w:eastAsia="HG Mincho Light J" w:hAnsi="Arial" w:cs="Arial"/>
          <w:color w:val="000000"/>
        </w:rPr>
        <w:t>, segurança jurídica e celeridade, fundamentos teóricos do novel instituto processual Brasileiro.</w:t>
      </w:r>
    </w:p>
    <w:p w:rsidR="00160903" w:rsidRPr="00CE42E1" w:rsidRDefault="00160903" w:rsidP="00C0665D">
      <w:pPr>
        <w:tabs>
          <w:tab w:val="left" w:pos="720"/>
        </w:tabs>
        <w:ind w:firstLine="1134"/>
        <w:jc w:val="both"/>
        <w:rPr>
          <w:rFonts w:ascii="Arial" w:eastAsia="HG Mincho Light J" w:hAnsi="Arial" w:cs="Arial"/>
          <w:color w:val="000000"/>
        </w:rPr>
      </w:pPr>
      <w:r>
        <w:rPr>
          <w:rFonts w:ascii="Arial" w:eastAsia="HG Mincho Light J" w:hAnsi="Arial" w:cs="Arial"/>
          <w:color w:val="000000"/>
        </w:rPr>
        <w:t xml:space="preserve">Como se pode observar, os precedentes abaixo invocados, afirmam a jurisprudência do STJ e da TNU, o que, infelizmente, é negado por juízes e Turmas Recursais diversas, o que gera tanta </w:t>
      </w:r>
      <w:proofErr w:type="gramStart"/>
      <w:r>
        <w:rPr>
          <w:rFonts w:ascii="Arial" w:eastAsia="HG Mincho Light J" w:hAnsi="Arial" w:cs="Arial"/>
          <w:color w:val="000000"/>
        </w:rPr>
        <w:t>“ insegurança</w:t>
      </w:r>
      <w:proofErr w:type="gramEnd"/>
      <w:r>
        <w:rPr>
          <w:rFonts w:ascii="Arial" w:eastAsia="HG Mincho Light J" w:hAnsi="Arial" w:cs="Arial"/>
          <w:color w:val="000000"/>
        </w:rPr>
        <w:t xml:space="preserve"> jurídica”. </w:t>
      </w:r>
      <w:r w:rsidR="0005447E">
        <w:rPr>
          <w:rFonts w:ascii="Arial" w:eastAsia="HG Mincho Light J" w:hAnsi="Arial" w:cs="Arial"/>
          <w:color w:val="000000"/>
        </w:rPr>
        <w:t>Tais precedentes vão justamente ao encontro das teses que se pretende sejam, aqui, fixadas:</w:t>
      </w:r>
    </w:p>
    <w:p w:rsidR="00CE42E1" w:rsidRDefault="00CE42E1" w:rsidP="00C0665D">
      <w:pPr>
        <w:tabs>
          <w:tab w:val="left" w:pos="720"/>
        </w:tabs>
        <w:ind w:firstLine="1134"/>
        <w:jc w:val="both"/>
        <w:rPr>
          <w:rFonts w:ascii="Arial" w:eastAsia="HG Mincho Light J" w:hAnsi="Arial" w:cs="Arial"/>
          <w:b/>
          <w:color w:val="000000"/>
        </w:rPr>
      </w:pPr>
    </w:p>
    <w:p w:rsidR="0005447E" w:rsidRPr="00642A10" w:rsidRDefault="0005447E" w:rsidP="0005447E">
      <w:pPr>
        <w:tabs>
          <w:tab w:val="left" w:pos="720"/>
        </w:tabs>
        <w:spacing w:line="240" w:lineRule="auto"/>
        <w:ind w:left="176"/>
        <w:jc w:val="both"/>
        <w:rPr>
          <w:rFonts w:ascii="Arial" w:eastAsia="HG Mincho Light J" w:hAnsi="Arial" w:cs="Arial"/>
          <w:b/>
          <w:color w:val="000000"/>
        </w:rPr>
      </w:pPr>
      <w:r w:rsidRPr="00642A10">
        <w:rPr>
          <w:rFonts w:ascii="Arial" w:eastAsia="HG Mincho Light J" w:hAnsi="Arial" w:cs="Arial"/>
          <w:b/>
          <w:color w:val="000000"/>
        </w:rPr>
        <w:t xml:space="preserve">TESE N° 1: </w:t>
      </w:r>
    </w:p>
    <w:p w:rsidR="0005447E" w:rsidRDefault="0005447E" w:rsidP="0005447E">
      <w:pPr>
        <w:tabs>
          <w:tab w:val="left" w:pos="720"/>
        </w:tabs>
        <w:spacing w:line="240" w:lineRule="auto"/>
        <w:ind w:left="176"/>
        <w:jc w:val="both"/>
        <w:rPr>
          <w:rFonts w:ascii="Arial" w:eastAsia="HG Mincho Light J" w:hAnsi="Arial" w:cs="Arial"/>
          <w:color w:val="000000"/>
        </w:rPr>
      </w:pPr>
    </w:p>
    <w:tbl>
      <w:tblPr>
        <w:tblStyle w:val="Tabelacomgrade"/>
        <w:tblW w:w="0" w:type="auto"/>
        <w:tblInd w:w="2268" w:type="dxa"/>
        <w:tblLook w:val="04A0" w:firstRow="1" w:lastRow="0" w:firstColumn="1" w:lastColumn="0" w:noHBand="0" w:noVBand="1"/>
      </w:tblPr>
      <w:tblGrid>
        <w:gridCol w:w="6794"/>
      </w:tblGrid>
      <w:tr w:rsidR="00642A10" w:rsidTr="00BA35BD">
        <w:tc>
          <w:tcPr>
            <w:tcW w:w="6794" w:type="dxa"/>
          </w:tcPr>
          <w:p w:rsidR="00642A10" w:rsidRPr="00B556DD" w:rsidRDefault="00642A10" w:rsidP="00642A10">
            <w:pPr>
              <w:tabs>
                <w:tab w:val="left" w:pos="720"/>
              </w:tabs>
              <w:spacing w:line="240" w:lineRule="auto"/>
              <w:ind w:left="176"/>
              <w:jc w:val="both"/>
              <w:rPr>
                <w:rFonts w:ascii="Arial" w:eastAsia="HG Mincho Light J" w:hAnsi="Arial" w:cs="Arial"/>
                <w:i/>
                <w:color w:val="000000"/>
                <w:sz w:val="22"/>
                <w:szCs w:val="22"/>
              </w:rPr>
            </w:pPr>
            <w:r w:rsidRPr="00B556DD">
              <w:rPr>
                <w:rFonts w:ascii="Arial" w:eastAsia="HG Mincho Light J" w:hAnsi="Arial" w:cs="Arial"/>
                <w:i/>
                <w:color w:val="000000"/>
                <w:sz w:val="22"/>
                <w:szCs w:val="22"/>
              </w:rPr>
              <w:t xml:space="preserve">“Nos processos previdenciários relacionados a benefícios rurais, </w:t>
            </w:r>
            <w:r w:rsidRPr="00B556DD">
              <w:rPr>
                <w:rFonts w:ascii="Arial" w:eastAsia="HG Mincho Light J" w:hAnsi="Arial" w:cs="Arial"/>
                <w:b/>
                <w:i/>
                <w:color w:val="000000"/>
                <w:sz w:val="22"/>
                <w:szCs w:val="22"/>
              </w:rPr>
              <w:t>existindo documentos nos autos (mesmo que seja um apenas), considerados como início de prova material, mesmo que não sejam contemporâneos ao período de carência do benefício, devem ser tratados no plano da existência, por conseguinte, inaplicável a súmula 149 do STJ a estes casos</w:t>
            </w:r>
            <w:r w:rsidRPr="00B556DD">
              <w:rPr>
                <w:rFonts w:ascii="Arial" w:eastAsia="HG Mincho Light J" w:hAnsi="Arial" w:cs="Arial"/>
                <w:i/>
                <w:color w:val="000000"/>
                <w:sz w:val="22"/>
                <w:szCs w:val="22"/>
              </w:rPr>
              <w:t xml:space="preserve">.” </w:t>
            </w:r>
          </w:p>
          <w:p w:rsidR="00642A10" w:rsidRDefault="00642A10" w:rsidP="003E63D2">
            <w:pPr>
              <w:spacing w:line="240" w:lineRule="auto"/>
              <w:jc w:val="both"/>
              <w:rPr>
                <w:rFonts w:ascii="Arial" w:hAnsi="Arial" w:cs="Arial"/>
                <w:i/>
                <w:color w:val="000000"/>
                <w:sz w:val="18"/>
                <w:szCs w:val="18"/>
                <w:shd w:val="clear" w:color="auto" w:fill="FFFFFF"/>
              </w:rPr>
            </w:pPr>
          </w:p>
        </w:tc>
      </w:tr>
    </w:tbl>
    <w:p w:rsidR="0005447E" w:rsidRDefault="0005447E" w:rsidP="003E63D2">
      <w:pPr>
        <w:spacing w:line="240" w:lineRule="auto"/>
        <w:ind w:left="2268"/>
        <w:jc w:val="both"/>
        <w:rPr>
          <w:rFonts w:ascii="Arial" w:hAnsi="Arial" w:cs="Arial"/>
          <w:i/>
          <w:color w:val="000000"/>
          <w:sz w:val="18"/>
          <w:szCs w:val="18"/>
          <w:shd w:val="clear" w:color="auto" w:fill="FFFFFF"/>
        </w:rPr>
      </w:pPr>
    </w:p>
    <w:p w:rsidR="00642A10" w:rsidRDefault="00642A10" w:rsidP="00642A10">
      <w:pPr>
        <w:spacing w:line="240" w:lineRule="auto"/>
        <w:jc w:val="both"/>
        <w:rPr>
          <w:rFonts w:ascii="Arial" w:hAnsi="Arial" w:cs="Arial"/>
          <w:b/>
          <w:color w:val="000000"/>
          <w:shd w:val="clear" w:color="auto" w:fill="FFFFFF"/>
        </w:rPr>
      </w:pPr>
      <w:r w:rsidRPr="00642A10">
        <w:rPr>
          <w:rFonts w:ascii="Arial" w:hAnsi="Arial" w:cs="Arial"/>
          <w:b/>
          <w:color w:val="000000"/>
          <w:shd w:val="clear" w:color="auto" w:fill="FFFFFF"/>
        </w:rPr>
        <w:t>Precedente</w:t>
      </w:r>
      <w:r w:rsidR="00615A97">
        <w:rPr>
          <w:rFonts w:ascii="Arial" w:hAnsi="Arial" w:cs="Arial"/>
          <w:b/>
          <w:color w:val="000000"/>
          <w:shd w:val="clear" w:color="auto" w:fill="FFFFFF"/>
        </w:rPr>
        <w:t xml:space="preserve"> Correlato</w:t>
      </w:r>
      <w:r w:rsidRPr="00642A10">
        <w:rPr>
          <w:rFonts w:ascii="Arial" w:hAnsi="Arial" w:cs="Arial"/>
          <w:b/>
          <w:color w:val="000000"/>
          <w:shd w:val="clear" w:color="auto" w:fill="FFFFFF"/>
        </w:rPr>
        <w:t xml:space="preserve">: </w:t>
      </w:r>
    </w:p>
    <w:p w:rsidR="000B4EEB" w:rsidRDefault="000B4EEB" w:rsidP="00642A10">
      <w:pPr>
        <w:spacing w:line="240" w:lineRule="auto"/>
        <w:jc w:val="both"/>
        <w:rPr>
          <w:rFonts w:ascii="Arial" w:hAnsi="Arial" w:cs="Arial"/>
          <w:b/>
          <w:color w:val="000000"/>
          <w:shd w:val="clear" w:color="auto" w:fill="FFFFFF"/>
        </w:rPr>
      </w:pPr>
    </w:p>
    <w:p w:rsidR="000B4EEB" w:rsidRDefault="000B4EEB" w:rsidP="00642A10">
      <w:pPr>
        <w:spacing w:line="240" w:lineRule="auto"/>
        <w:jc w:val="both"/>
        <w:rPr>
          <w:rFonts w:ascii="Arial" w:hAnsi="Arial" w:cs="Arial"/>
          <w:b/>
          <w:color w:val="000000"/>
          <w:shd w:val="clear" w:color="auto" w:fill="FFFFFF"/>
        </w:rPr>
      </w:pPr>
    </w:p>
    <w:p w:rsidR="000B4EEB" w:rsidRDefault="000B4EEB" w:rsidP="00642A10">
      <w:pPr>
        <w:spacing w:line="240" w:lineRule="auto"/>
        <w:jc w:val="both"/>
        <w:rPr>
          <w:rFonts w:ascii="Arial" w:hAnsi="Arial" w:cs="Arial"/>
          <w:b/>
          <w:color w:val="000000"/>
          <w:shd w:val="clear" w:color="auto" w:fill="FFFFFF"/>
        </w:rPr>
      </w:pPr>
    </w:p>
    <w:p w:rsidR="000B4EEB" w:rsidRPr="000B4EEB" w:rsidRDefault="00E0790F" w:rsidP="000B4EEB">
      <w:pPr>
        <w:shd w:val="clear" w:color="auto" w:fill="FFFFFF"/>
        <w:spacing w:line="240" w:lineRule="auto"/>
        <w:ind w:left="2268"/>
        <w:jc w:val="both"/>
        <w:rPr>
          <w:rFonts w:ascii="Arial" w:hAnsi="Arial" w:cs="Arial"/>
          <w:spacing w:val="2"/>
          <w:sz w:val="20"/>
          <w:szCs w:val="20"/>
        </w:rPr>
      </w:pPr>
      <w:r>
        <w:rPr>
          <w:rFonts w:ascii="Arial" w:hAnsi="Arial" w:cs="Arial"/>
          <w:spacing w:val="2"/>
          <w:sz w:val="20"/>
          <w:szCs w:val="20"/>
        </w:rPr>
        <w:t>“</w:t>
      </w:r>
      <w:r w:rsidR="000B4EEB" w:rsidRPr="000B4EEB">
        <w:rPr>
          <w:rFonts w:ascii="Arial" w:hAnsi="Arial" w:cs="Arial"/>
          <w:spacing w:val="2"/>
          <w:sz w:val="20"/>
          <w:szCs w:val="20"/>
        </w:rPr>
        <w:t xml:space="preserve">PREVIDENCIÁRIO E PROCESSUAL CIVIL. AGRAVO REGIMENTAL NO AGRAVO DEINSTRUMENTO. RURÍCOLA. APOSENTADORIA POR IDADE. INÍCIO RAZOÁVEL DEPROVA MATERIAL. EXISTÊNCIA. SÚMULA 149/STJ. INAPLICABILIDADE. LABORRURAL AFERIDO PELO TRIBUNAL A QUO. SÚMULA 7/STJ. AGRAVO REGIMENTALDESPROVIDO. I. </w:t>
      </w:r>
      <w:r w:rsidR="000B4EEB" w:rsidRPr="00D168AC">
        <w:rPr>
          <w:rFonts w:ascii="Arial" w:hAnsi="Arial" w:cs="Arial"/>
          <w:i/>
          <w:spacing w:val="2"/>
          <w:sz w:val="20"/>
          <w:szCs w:val="20"/>
        </w:rPr>
        <w:t>Não é imperativo que o início de prova material diga respeito ato</w:t>
      </w:r>
      <w:r w:rsidR="00D168AC" w:rsidRPr="00D168AC">
        <w:rPr>
          <w:rFonts w:ascii="Arial" w:hAnsi="Arial" w:cs="Arial"/>
          <w:i/>
          <w:spacing w:val="2"/>
          <w:sz w:val="20"/>
          <w:szCs w:val="20"/>
        </w:rPr>
        <w:t xml:space="preserve"> </w:t>
      </w:r>
      <w:r w:rsidR="000B4EEB" w:rsidRPr="00D168AC">
        <w:rPr>
          <w:rFonts w:ascii="Arial" w:hAnsi="Arial" w:cs="Arial"/>
          <w:i/>
          <w:spacing w:val="2"/>
          <w:sz w:val="20"/>
          <w:szCs w:val="20"/>
        </w:rPr>
        <w:t xml:space="preserve">do período de carência estabelecido pelo artigo 143 da Lei nº 8.213/91, </w:t>
      </w:r>
      <w:r w:rsidR="000B4EEB" w:rsidRPr="00E0790F">
        <w:rPr>
          <w:rFonts w:ascii="Arial" w:hAnsi="Arial" w:cs="Arial"/>
          <w:b/>
          <w:i/>
          <w:spacing w:val="2"/>
          <w:sz w:val="20"/>
          <w:szCs w:val="20"/>
          <w:highlight w:val="yellow"/>
        </w:rPr>
        <w:t>desde que a prova testemunhal amplie sua eficácia probatória,</w:t>
      </w:r>
      <w:r w:rsidR="000B4EEB" w:rsidRPr="00D168AC">
        <w:rPr>
          <w:rFonts w:ascii="Arial" w:hAnsi="Arial" w:cs="Arial"/>
          <w:i/>
          <w:spacing w:val="2"/>
          <w:sz w:val="20"/>
          <w:szCs w:val="20"/>
        </w:rPr>
        <w:t xml:space="preserve"> vinculando-o, pelo menos, a uma fração daquele período</w:t>
      </w:r>
      <w:r w:rsidR="000B4EEB" w:rsidRPr="000B4EEB">
        <w:rPr>
          <w:rFonts w:ascii="Arial" w:hAnsi="Arial" w:cs="Arial"/>
          <w:spacing w:val="2"/>
          <w:sz w:val="20"/>
          <w:szCs w:val="20"/>
        </w:rPr>
        <w:t xml:space="preserve">. II. A Terceira Seção desta Corte assentou entendimento segundo </w:t>
      </w:r>
      <w:r w:rsidR="000B4EEB" w:rsidRPr="000B4EEB">
        <w:rPr>
          <w:rFonts w:ascii="Arial" w:hAnsi="Arial" w:cs="Arial"/>
          <w:spacing w:val="2"/>
          <w:sz w:val="20"/>
          <w:szCs w:val="20"/>
        </w:rPr>
        <w:lastRenderedPageBreak/>
        <w:t>o</w:t>
      </w:r>
      <w:r w:rsidR="00D168AC">
        <w:rPr>
          <w:rFonts w:ascii="Arial" w:hAnsi="Arial" w:cs="Arial"/>
          <w:spacing w:val="2"/>
          <w:sz w:val="20"/>
          <w:szCs w:val="20"/>
        </w:rPr>
        <w:t xml:space="preserve"> </w:t>
      </w:r>
      <w:r w:rsidR="000B4EEB" w:rsidRPr="000B4EEB">
        <w:rPr>
          <w:rFonts w:ascii="Arial" w:hAnsi="Arial" w:cs="Arial"/>
          <w:spacing w:val="2"/>
          <w:sz w:val="20"/>
          <w:szCs w:val="20"/>
        </w:rPr>
        <w:t>qual, diante da dificuldade de comprovação da atividade rural, em</w:t>
      </w:r>
      <w:r w:rsidR="000B4EEB">
        <w:rPr>
          <w:rFonts w:ascii="Arial" w:hAnsi="Arial" w:cs="Arial"/>
          <w:spacing w:val="2"/>
          <w:sz w:val="20"/>
          <w:szCs w:val="20"/>
        </w:rPr>
        <w:t xml:space="preserve"> </w:t>
      </w:r>
      <w:r w:rsidR="000B4EEB" w:rsidRPr="000B4EEB">
        <w:rPr>
          <w:rFonts w:ascii="Arial" w:hAnsi="Arial" w:cs="Arial"/>
          <w:spacing w:val="2"/>
          <w:sz w:val="20"/>
          <w:szCs w:val="20"/>
        </w:rPr>
        <w:t>especial pela mulher, há de se presumir que, se o marido</w:t>
      </w:r>
      <w:r w:rsidR="000B4EEB">
        <w:rPr>
          <w:rFonts w:ascii="Arial" w:hAnsi="Arial" w:cs="Arial"/>
          <w:spacing w:val="2"/>
          <w:sz w:val="20"/>
          <w:szCs w:val="20"/>
        </w:rPr>
        <w:t xml:space="preserve"> </w:t>
      </w:r>
      <w:r w:rsidR="000B4EEB" w:rsidRPr="000B4EEB">
        <w:rPr>
          <w:rFonts w:ascii="Arial" w:hAnsi="Arial" w:cs="Arial"/>
          <w:spacing w:val="2"/>
          <w:sz w:val="20"/>
          <w:szCs w:val="20"/>
        </w:rPr>
        <w:t>desempenhava este tipo de labor, a esposa também o fazia. Dessa</w:t>
      </w:r>
      <w:r w:rsidR="000B4EEB">
        <w:rPr>
          <w:rFonts w:ascii="Arial" w:hAnsi="Arial" w:cs="Arial"/>
          <w:spacing w:val="2"/>
          <w:sz w:val="20"/>
          <w:szCs w:val="20"/>
        </w:rPr>
        <w:t xml:space="preserve"> </w:t>
      </w:r>
      <w:r w:rsidR="000B4EEB" w:rsidRPr="000B4EEB">
        <w:rPr>
          <w:rFonts w:ascii="Arial" w:hAnsi="Arial" w:cs="Arial"/>
          <w:spacing w:val="2"/>
          <w:sz w:val="20"/>
          <w:szCs w:val="20"/>
        </w:rPr>
        <w:t>forma</w:t>
      </w:r>
      <w:r w:rsidR="000B4EEB" w:rsidRPr="00D168AC">
        <w:rPr>
          <w:rFonts w:ascii="Arial" w:hAnsi="Arial" w:cs="Arial"/>
          <w:b/>
          <w:spacing w:val="2"/>
          <w:sz w:val="20"/>
          <w:szCs w:val="20"/>
        </w:rPr>
        <w:t>, a eficácia da informação contida na certidão de casamento que atesta a condição de lavrador do cônjuge, estendida a esposa, devidamente robustecida pela prova testemunhal</w:t>
      </w:r>
      <w:r w:rsidR="000B4EEB" w:rsidRPr="000B4EEB">
        <w:rPr>
          <w:rFonts w:ascii="Arial" w:hAnsi="Arial" w:cs="Arial"/>
          <w:spacing w:val="2"/>
          <w:sz w:val="20"/>
          <w:szCs w:val="20"/>
        </w:rPr>
        <w:t xml:space="preserve">, </w:t>
      </w:r>
      <w:r w:rsidR="000B4EEB" w:rsidRPr="00D168AC">
        <w:rPr>
          <w:rFonts w:ascii="Arial" w:hAnsi="Arial" w:cs="Arial"/>
          <w:b/>
          <w:spacing w:val="2"/>
          <w:sz w:val="20"/>
          <w:szCs w:val="20"/>
          <w:highlight w:val="yellow"/>
          <w:u w:val="single"/>
        </w:rPr>
        <w:t>leva ao afastamento da aplicação do enunciado da Súmula 149/STJ</w:t>
      </w:r>
      <w:r w:rsidR="000B4EEB" w:rsidRPr="000B4EEB">
        <w:rPr>
          <w:rFonts w:ascii="Arial" w:hAnsi="Arial" w:cs="Arial"/>
          <w:spacing w:val="2"/>
          <w:sz w:val="20"/>
          <w:szCs w:val="20"/>
        </w:rPr>
        <w:t>. III. Tendo o acórdão recorrido admitido, expressamente, estar aatividade rurícola da autora suficientemente comprovada por iníciode prova material robustecida pela prova testemunhal, a inversãodessa compreensão, como pretendido, ensejaria o reexame do acervoprobatório valorado, o que encontra óbice na orientação firmada naSúmula 7/STJ. IV. Agravo regimental desprovido.</w:t>
      </w:r>
    </w:p>
    <w:p w:rsidR="000B4EEB" w:rsidRPr="00E0790F" w:rsidRDefault="000B4EEB" w:rsidP="000B4EEB">
      <w:pPr>
        <w:shd w:val="clear" w:color="auto" w:fill="FFFFFF"/>
        <w:spacing w:line="240" w:lineRule="auto"/>
        <w:ind w:left="2268"/>
        <w:jc w:val="both"/>
        <w:rPr>
          <w:rFonts w:ascii="Arial" w:hAnsi="Arial" w:cs="Arial"/>
          <w:i/>
          <w:spacing w:val="2"/>
          <w:sz w:val="20"/>
          <w:szCs w:val="20"/>
        </w:rPr>
      </w:pPr>
      <w:r w:rsidRPr="000B4EEB">
        <w:rPr>
          <w:rFonts w:ascii="Arial" w:hAnsi="Arial" w:cs="Arial"/>
          <w:spacing w:val="2"/>
          <w:sz w:val="20"/>
          <w:szCs w:val="20"/>
        </w:rPr>
        <w:t xml:space="preserve">(STJ - AgRg no Ag: </w:t>
      </w:r>
      <w:proofErr w:type="gramStart"/>
      <w:r w:rsidRPr="000B4EEB">
        <w:rPr>
          <w:rFonts w:ascii="Arial" w:hAnsi="Arial" w:cs="Arial"/>
          <w:spacing w:val="2"/>
          <w:sz w:val="20"/>
          <w:szCs w:val="20"/>
        </w:rPr>
        <w:t>1410311 GO</w:t>
      </w:r>
      <w:proofErr w:type="gramEnd"/>
      <w:r w:rsidRPr="000B4EEB">
        <w:rPr>
          <w:rFonts w:ascii="Arial" w:hAnsi="Arial" w:cs="Arial"/>
          <w:spacing w:val="2"/>
          <w:sz w:val="20"/>
          <w:szCs w:val="20"/>
        </w:rPr>
        <w:t xml:space="preserve"> 2011/0060736-8, Relator: Ministro GILSON DIPP, Data de Julgamento: 15/03/2012, T5 - QUINTA TURMA, Data de Publicação: DJe 22/03/2012)</w:t>
      </w:r>
      <w:r>
        <w:rPr>
          <w:rFonts w:ascii="Arial" w:hAnsi="Arial" w:cs="Arial"/>
          <w:spacing w:val="2"/>
          <w:sz w:val="20"/>
          <w:szCs w:val="20"/>
        </w:rPr>
        <w:t>”</w:t>
      </w:r>
      <w:r w:rsidR="00E0790F">
        <w:rPr>
          <w:rFonts w:ascii="Arial" w:hAnsi="Arial" w:cs="Arial"/>
          <w:spacing w:val="2"/>
          <w:sz w:val="20"/>
          <w:szCs w:val="20"/>
        </w:rPr>
        <w:t xml:space="preserve"> </w:t>
      </w:r>
      <w:r w:rsidR="00E0790F">
        <w:rPr>
          <w:rFonts w:ascii="Arial" w:hAnsi="Arial" w:cs="Arial"/>
          <w:i/>
          <w:spacing w:val="2"/>
          <w:sz w:val="20"/>
          <w:szCs w:val="20"/>
        </w:rPr>
        <w:t>(grifamos)</w:t>
      </w:r>
    </w:p>
    <w:p w:rsidR="000B4EEB" w:rsidRDefault="000B4EEB" w:rsidP="00642A10">
      <w:pPr>
        <w:spacing w:line="240" w:lineRule="auto"/>
        <w:jc w:val="both"/>
        <w:rPr>
          <w:rFonts w:ascii="Arial" w:hAnsi="Arial" w:cs="Arial"/>
          <w:b/>
          <w:color w:val="000000"/>
          <w:shd w:val="clear" w:color="auto" w:fill="FFFFFF"/>
        </w:rPr>
      </w:pPr>
    </w:p>
    <w:p w:rsidR="00A96B15" w:rsidRPr="00642A10" w:rsidRDefault="007F6A2C" w:rsidP="00A96B15">
      <w:pPr>
        <w:tabs>
          <w:tab w:val="left" w:pos="720"/>
        </w:tabs>
        <w:spacing w:line="240" w:lineRule="auto"/>
        <w:ind w:left="176"/>
        <w:jc w:val="both"/>
        <w:rPr>
          <w:rFonts w:ascii="Arial" w:eastAsia="HG Mincho Light J" w:hAnsi="Arial" w:cs="Arial"/>
          <w:b/>
          <w:color w:val="000000"/>
        </w:rPr>
      </w:pPr>
      <w:r>
        <w:rPr>
          <w:rFonts w:ascii="Arial" w:eastAsia="HG Mincho Light J" w:hAnsi="Arial" w:cs="Arial"/>
          <w:b/>
          <w:color w:val="000000"/>
        </w:rPr>
        <w:t>TESE N° 2</w:t>
      </w:r>
      <w:r w:rsidR="00A96B15" w:rsidRPr="00642A10">
        <w:rPr>
          <w:rFonts w:ascii="Arial" w:eastAsia="HG Mincho Light J" w:hAnsi="Arial" w:cs="Arial"/>
          <w:b/>
          <w:color w:val="000000"/>
        </w:rPr>
        <w:t xml:space="preserve">: </w:t>
      </w:r>
    </w:p>
    <w:p w:rsidR="0005447E" w:rsidRDefault="0005447E" w:rsidP="003E63D2">
      <w:pPr>
        <w:spacing w:line="240" w:lineRule="auto"/>
        <w:ind w:left="2268"/>
        <w:jc w:val="both"/>
        <w:rPr>
          <w:rFonts w:ascii="Arial" w:hAnsi="Arial" w:cs="Arial"/>
          <w:i/>
          <w:color w:val="000000"/>
          <w:sz w:val="18"/>
          <w:szCs w:val="18"/>
          <w:shd w:val="clear" w:color="auto" w:fill="FFFFFF"/>
        </w:rPr>
      </w:pPr>
    </w:p>
    <w:p w:rsidR="00A96B15" w:rsidRDefault="00A96B15" w:rsidP="003E63D2">
      <w:pPr>
        <w:spacing w:line="240" w:lineRule="auto"/>
        <w:ind w:left="2268"/>
        <w:jc w:val="both"/>
        <w:rPr>
          <w:rFonts w:ascii="Arial" w:hAnsi="Arial" w:cs="Arial"/>
          <w:i/>
          <w:color w:val="000000"/>
          <w:sz w:val="18"/>
          <w:szCs w:val="18"/>
          <w:shd w:val="clear" w:color="auto" w:fill="FFFFFF"/>
        </w:rPr>
      </w:pPr>
    </w:p>
    <w:tbl>
      <w:tblPr>
        <w:tblStyle w:val="Tabelacomgrade"/>
        <w:tblW w:w="0" w:type="auto"/>
        <w:tblInd w:w="2263" w:type="dxa"/>
        <w:tblLook w:val="04A0" w:firstRow="1" w:lastRow="0" w:firstColumn="1" w:lastColumn="0" w:noHBand="0" w:noVBand="1"/>
      </w:tblPr>
      <w:tblGrid>
        <w:gridCol w:w="6799"/>
      </w:tblGrid>
      <w:tr w:rsidR="00A96B15" w:rsidTr="007F6A2C">
        <w:tc>
          <w:tcPr>
            <w:tcW w:w="6799" w:type="dxa"/>
          </w:tcPr>
          <w:p w:rsidR="00A96B15" w:rsidRPr="00B556DD" w:rsidRDefault="00A96B15" w:rsidP="00A96B15">
            <w:pPr>
              <w:tabs>
                <w:tab w:val="left" w:pos="720"/>
              </w:tabs>
              <w:spacing w:line="240" w:lineRule="auto"/>
              <w:ind w:left="176"/>
              <w:jc w:val="both"/>
              <w:rPr>
                <w:rFonts w:ascii="Arial" w:hAnsi="Arial" w:cs="Arial"/>
                <w:sz w:val="22"/>
                <w:szCs w:val="22"/>
              </w:rPr>
            </w:pPr>
            <w:r w:rsidRPr="00B556DD">
              <w:rPr>
                <w:rFonts w:ascii="Arial" w:eastAsia="HG Mincho Light J" w:hAnsi="Arial" w:cs="Arial"/>
                <w:i/>
                <w:color w:val="000000"/>
                <w:sz w:val="22"/>
                <w:szCs w:val="22"/>
              </w:rPr>
              <w:t xml:space="preserve">“No mesmo sentido, não se pode inadmitir recursos admissíveis sob argumentos desconexos da realidade dos autos e que não se adequam ao caso, em observância ao </w:t>
            </w:r>
            <w:r w:rsidRPr="00B556DD">
              <w:rPr>
                <w:rFonts w:ascii="Arial" w:hAnsi="Arial" w:cs="Arial"/>
                <w:b/>
                <w:i/>
                <w:sz w:val="22"/>
                <w:szCs w:val="22"/>
              </w:rPr>
              <w:t>art. 489, V, do NCPC</w:t>
            </w:r>
            <w:r w:rsidRPr="00B556DD">
              <w:rPr>
                <w:rFonts w:ascii="Arial" w:hAnsi="Arial" w:cs="Arial"/>
                <w:i/>
                <w:sz w:val="22"/>
                <w:szCs w:val="22"/>
              </w:rPr>
              <w:t xml:space="preserve">, o qual normatiza que </w:t>
            </w:r>
            <w:r w:rsidRPr="00B556DD">
              <w:rPr>
                <w:rFonts w:ascii="Arial" w:hAnsi="Arial" w:cs="Arial"/>
                <w:b/>
                <w:i/>
                <w:sz w:val="22"/>
                <w:szCs w:val="22"/>
              </w:rPr>
              <w:t>o juiz não pode se se limitar a invocar precedente ou enunciado de súmula, sem identificar seus fundamentos determinantes nem demonstrar que o caso sob julgamento se ajusta àqueles fundamentos</w:t>
            </w:r>
            <w:r w:rsidRPr="00B556DD">
              <w:rPr>
                <w:rFonts w:ascii="Arial" w:hAnsi="Arial" w:cs="Arial"/>
                <w:i/>
                <w:sz w:val="22"/>
                <w:szCs w:val="22"/>
              </w:rPr>
              <w:t>.”</w:t>
            </w:r>
          </w:p>
          <w:p w:rsidR="00A96B15" w:rsidRDefault="00A96B15" w:rsidP="00A96B15">
            <w:pPr>
              <w:spacing w:line="240" w:lineRule="auto"/>
              <w:jc w:val="both"/>
              <w:rPr>
                <w:rFonts w:ascii="Arial" w:hAnsi="Arial" w:cs="Arial"/>
                <w:i/>
                <w:color w:val="000000"/>
                <w:sz w:val="18"/>
                <w:szCs w:val="18"/>
                <w:shd w:val="clear" w:color="auto" w:fill="FFFFFF"/>
              </w:rPr>
            </w:pPr>
          </w:p>
        </w:tc>
      </w:tr>
    </w:tbl>
    <w:p w:rsidR="00A96B15" w:rsidRDefault="00A96B15" w:rsidP="00A96B15">
      <w:pPr>
        <w:spacing w:line="240" w:lineRule="auto"/>
        <w:jc w:val="both"/>
        <w:rPr>
          <w:rFonts w:ascii="Arial" w:hAnsi="Arial" w:cs="Arial"/>
          <w:i/>
          <w:color w:val="000000"/>
          <w:sz w:val="18"/>
          <w:szCs w:val="18"/>
          <w:shd w:val="clear" w:color="auto" w:fill="FFFFFF"/>
        </w:rPr>
      </w:pPr>
    </w:p>
    <w:p w:rsidR="00A96B15" w:rsidRPr="002348F6" w:rsidRDefault="00A96B15" w:rsidP="002348F6">
      <w:pPr>
        <w:spacing w:line="240" w:lineRule="auto"/>
        <w:ind w:left="2268"/>
        <w:jc w:val="both"/>
        <w:rPr>
          <w:rFonts w:ascii="Arial" w:hAnsi="Arial" w:cs="Arial"/>
          <w:i/>
          <w:color w:val="000000"/>
          <w:sz w:val="20"/>
          <w:szCs w:val="20"/>
          <w:shd w:val="clear" w:color="auto" w:fill="FFFFFF"/>
        </w:rPr>
      </w:pPr>
    </w:p>
    <w:p w:rsidR="002348F6" w:rsidRPr="002348F6" w:rsidRDefault="004070CA" w:rsidP="002348F6">
      <w:pPr>
        <w:shd w:val="clear" w:color="auto" w:fill="FFFFFF"/>
        <w:spacing w:line="240" w:lineRule="auto"/>
        <w:ind w:left="2268"/>
        <w:jc w:val="both"/>
        <w:rPr>
          <w:rFonts w:ascii="Arial" w:hAnsi="Arial" w:cs="Arial"/>
          <w:i/>
          <w:spacing w:val="2"/>
          <w:sz w:val="20"/>
          <w:szCs w:val="20"/>
        </w:rPr>
      </w:pPr>
      <w:r>
        <w:rPr>
          <w:rFonts w:ascii="Arial" w:hAnsi="Arial" w:cs="Arial"/>
          <w:i/>
          <w:spacing w:val="2"/>
          <w:sz w:val="20"/>
          <w:szCs w:val="20"/>
        </w:rPr>
        <w:t>“</w:t>
      </w:r>
      <w:r w:rsidR="002348F6" w:rsidRPr="002348F6">
        <w:rPr>
          <w:rFonts w:ascii="Arial" w:hAnsi="Arial" w:cs="Arial"/>
          <w:i/>
          <w:spacing w:val="2"/>
          <w:sz w:val="20"/>
          <w:szCs w:val="20"/>
        </w:rPr>
        <w:t xml:space="preserve">AGRAVO EM RECURSO ESPECIAL Nº 1.234.856 - SP (2018/0013076-0) </w:t>
      </w:r>
      <w:proofErr w:type="gramStart"/>
      <w:r w:rsidR="002348F6" w:rsidRPr="002348F6">
        <w:rPr>
          <w:rFonts w:ascii="Arial" w:hAnsi="Arial" w:cs="Arial"/>
          <w:i/>
          <w:spacing w:val="2"/>
          <w:sz w:val="20"/>
          <w:szCs w:val="20"/>
        </w:rPr>
        <w:t>RELATOR :</w:t>
      </w:r>
      <w:proofErr w:type="gramEnd"/>
      <w:r w:rsidR="002348F6" w:rsidRPr="002348F6">
        <w:rPr>
          <w:rFonts w:ascii="Arial" w:hAnsi="Arial" w:cs="Arial"/>
          <w:i/>
          <w:spacing w:val="2"/>
          <w:sz w:val="20"/>
          <w:szCs w:val="20"/>
        </w:rPr>
        <w:t xml:space="preserve"> MINISTRO OG FERNANDES AGRAVANTE : ANTONIO CARLOS DOS SANTOS ALVES ADVOGADOS : LEANDRO ALVES PESSOA - SP272134 KLEBER SOUZA SANTOS - SP280948 AGRAVADO : FAZENDA DO ESTADO DE SÃO PAULO PROCURADORES : CLAUDIA LINE GABARRÃO GONÇALVES DA CUNHA - SP300908 MARCELO BIANCHI E OUTRO (S) - SP274673 DECISÃO Vistos, etc</w:t>
      </w:r>
      <w:r>
        <w:rPr>
          <w:rFonts w:ascii="Arial" w:hAnsi="Arial" w:cs="Arial"/>
          <w:i/>
          <w:spacing w:val="2"/>
          <w:sz w:val="20"/>
          <w:szCs w:val="20"/>
        </w:rPr>
        <w:t xml:space="preserve">(...) </w:t>
      </w:r>
      <w:r w:rsidR="002348F6" w:rsidRPr="002348F6">
        <w:rPr>
          <w:rFonts w:ascii="Arial" w:hAnsi="Arial" w:cs="Arial"/>
          <w:i/>
          <w:spacing w:val="2"/>
          <w:sz w:val="20"/>
          <w:szCs w:val="20"/>
        </w:rPr>
        <w:t xml:space="preserve">5). Da breve análise acima, verifico que assiste razão ao recorrente. O acórdão recorrido padece de fundamentação adequada, uma vez que o Tribunal a quo não se manifestou sobre não ter sido oportunizado ao insurgente obter conhecimento dos motivos que levaram à sua reprovação e, desse modo, embasar o recurso da sua inaptidão. </w:t>
      </w:r>
      <w:r w:rsidR="002348F6" w:rsidRPr="002348F6">
        <w:rPr>
          <w:rFonts w:ascii="Arial" w:hAnsi="Arial" w:cs="Arial"/>
          <w:b/>
          <w:i/>
          <w:spacing w:val="2"/>
          <w:sz w:val="20"/>
          <w:szCs w:val="20"/>
        </w:rPr>
        <w:t>Por estar configurada a agressão ao disposto no art. 489, § 1º, IV e V, do CPC/2015, impõe-se a decretação de nulidade do aresto combatido, a fim de que os vícios sejam sanados</w:t>
      </w:r>
      <w:r w:rsidR="002348F6" w:rsidRPr="002348F6">
        <w:rPr>
          <w:rFonts w:ascii="Arial" w:hAnsi="Arial" w:cs="Arial"/>
          <w:i/>
          <w:spacing w:val="2"/>
          <w:sz w:val="20"/>
          <w:szCs w:val="20"/>
        </w:rPr>
        <w:t>. Ante o exposto, com fulcro no art. 932, V, do CPC/2015, c/c o art. 255, § 4º, III, do RISTJ e a Súmula 568/STJ, dou provimento ao recurso especial para anular o acórdão recorrido, determinando o retorno dos autos à Corte de origem, a fim de que se manifeste, expressamente, a respeito do quanto alegado. Publique-se. Intimem-se. Brasília (DF), 06 de junho de 2018. Ministro Og Fernandes Relator</w:t>
      </w:r>
    </w:p>
    <w:p w:rsidR="002348F6" w:rsidRPr="002348F6" w:rsidRDefault="002348F6" w:rsidP="002348F6">
      <w:pPr>
        <w:shd w:val="clear" w:color="auto" w:fill="FFFFFF"/>
        <w:spacing w:line="240" w:lineRule="auto"/>
        <w:ind w:left="2268"/>
        <w:jc w:val="both"/>
        <w:rPr>
          <w:rFonts w:ascii="Arial" w:hAnsi="Arial" w:cs="Arial"/>
          <w:i/>
          <w:spacing w:val="2"/>
          <w:sz w:val="20"/>
          <w:szCs w:val="20"/>
        </w:rPr>
      </w:pPr>
      <w:r w:rsidRPr="002348F6">
        <w:rPr>
          <w:rFonts w:ascii="Arial" w:hAnsi="Arial" w:cs="Arial"/>
          <w:i/>
          <w:spacing w:val="2"/>
          <w:sz w:val="20"/>
          <w:szCs w:val="20"/>
        </w:rPr>
        <w:t>(STJ - AREsp: 1234856 SP 2018/0013076-0, Relator: Ministro OG FERNANDES, Data de Publicação: DJ 08/06/2018)</w:t>
      </w:r>
      <w:r w:rsidR="004070CA">
        <w:rPr>
          <w:rFonts w:ascii="Arial" w:hAnsi="Arial" w:cs="Arial"/>
          <w:i/>
          <w:spacing w:val="2"/>
          <w:sz w:val="20"/>
          <w:szCs w:val="20"/>
        </w:rPr>
        <w:t>”</w:t>
      </w:r>
    </w:p>
    <w:p w:rsidR="00A96B15" w:rsidRPr="00E10FA6" w:rsidRDefault="00A96B15" w:rsidP="003E63D2">
      <w:pPr>
        <w:spacing w:line="240" w:lineRule="auto"/>
        <w:ind w:left="2268"/>
        <w:jc w:val="both"/>
        <w:rPr>
          <w:rFonts w:ascii="Arial" w:hAnsi="Arial" w:cs="Arial"/>
          <w:i/>
          <w:color w:val="000000"/>
          <w:shd w:val="clear" w:color="auto" w:fill="FFFFFF"/>
        </w:rPr>
      </w:pPr>
    </w:p>
    <w:p w:rsidR="00A96B15" w:rsidRPr="00BA35BD" w:rsidRDefault="00061891" w:rsidP="00061891">
      <w:pPr>
        <w:spacing w:line="240" w:lineRule="auto"/>
        <w:jc w:val="both"/>
        <w:rPr>
          <w:rFonts w:ascii="Arial" w:hAnsi="Arial" w:cs="Arial"/>
          <w:b/>
          <w:color w:val="000000"/>
          <w:u w:val="single"/>
          <w:shd w:val="clear" w:color="auto" w:fill="FFFFFF"/>
        </w:rPr>
      </w:pPr>
      <w:r w:rsidRPr="00BA35BD">
        <w:rPr>
          <w:rFonts w:ascii="Arial" w:hAnsi="Arial" w:cs="Arial"/>
          <w:b/>
          <w:color w:val="000000"/>
          <w:u w:val="single"/>
          <w:shd w:val="clear" w:color="auto" w:fill="FFFFFF"/>
        </w:rPr>
        <w:t>TESE Nº 3:</w:t>
      </w:r>
    </w:p>
    <w:p w:rsidR="00061891" w:rsidRDefault="00061891" w:rsidP="00061891">
      <w:pPr>
        <w:spacing w:line="240" w:lineRule="auto"/>
        <w:jc w:val="both"/>
        <w:rPr>
          <w:rFonts w:ascii="Arial" w:hAnsi="Arial" w:cs="Arial"/>
          <w:b/>
          <w:color w:val="000000"/>
          <w:sz w:val="18"/>
          <w:szCs w:val="18"/>
          <w:shd w:val="clear" w:color="auto" w:fill="FFFFFF"/>
        </w:rPr>
      </w:pPr>
    </w:p>
    <w:p w:rsidR="00061891" w:rsidRPr="00061891" w:rsidRDefault="00061891" w:rsidP="00061891">
      <w:pPr>
        <w:spacing w:line="240" w:lineRule="auto"/>
        <w:jc w:val="both"/>
        <w:rPr>
          <w:rFonts w:ascii="Arial" w:hAnsi="Arial" w:cs="Arial"/>
          <w:b/>
          <w:color w:val="000000"/>
          <w:sz w:val="18"/>
          <w:szCs w:val="18"/>
          <w:shd w:val="clear" w:color="auto" w:fill="FFFFFF"/>
        </w:rPr>
      </w:pPr>
    </w:p>
    <w:tbl>
      <w:tblPr>
        <w:tblStyle w:val="Tabelacomgrade"/>
        <w:tblW w:w="0" w:type="auto"/>
        <w:tblInd w:w="2268" w:type="dxa"/>
        <w:tblLook w:val="04A0" w:firstRow="1" w:lastRow="0" w:firstColumn="1" w:lastColumn="0" w:noHBand="0" w:noVBand="1"/>
      </w:tblPr>
      <w:tblGrid>
        <w:gridCol w:w="6794"/>
      </w:tblGrid>
      <w:tr w:rsidR="00E10FA6" w:rsidTr="00E10FA6">
        <w:tc>
          <w:tcPr>
            <w:tcW w:w="9062" w:type="dxa"/>
          </w:tcPr>
          <w:p w:rsidR="00E10FA6" w:rsidRDefault="00E10FA6" w:rsidP="003E63D2">
            <w:pPr>
              <w:spacing w:line="240" w:lineRule="auto"/>
              <w:jc w:val="both"/>
              <w:rPr>
                <w:rFonts w:ascii="Arial" w:hAnsi="Arial" w:cs="Arial"/>
                <w:i/>
                <w:color w:val="000000"/>
                <w:sz w:val="18"/>
                <w:szCs w:val="18"/>
                <w:shd w:val="clear" w:color="auto" w:fill="FFFFFF"/>
              </w:rPr>
            </w:pPr>
            <w:r w:rsidRPr="00B556DD">
              <w:rPr>
                <w:rFonts w:ascii="Arial" w:eastAsia="HG Mincho Light J" w:hAnsi="Arial" w:cs="Arial"/>
                <w:i/>
                <w:color w:val="000000"/>
                <w:sz w:val="22"/>
                <w:szCs w:val="22"/>
              </w:rPr>
              <w:t xml:space="preserve">“Nos benefícios relacionados a trabalhadores rurais </w:t>
            </w:r>
            <w:r w:rsidRPr="00B556DD">
              <w:rPr>
                <w:rFonts w:ascii="Arial" w:eastAsia="HG Mincho Light J" w:hAnsi="Arial" w:cs="Arial"/>
                <w:b/>
                <w:i/>
                <w:color w:val="000000"/>
                <w:sz w:val="22"/>
                <w:szCs w:val="22"/>
              </w:rPr>
              <w:t xml:space="preserve">em que a controvérsia probatória se refira a documentos considerados </w:t>
            </w:r>
            <w:r w:rsidRPr="00B556DD">
              <w:rPr>
                <w:rFonts w:ascii="Arial" w:eastAsia="HG Mincho Light J" w:hAnsi="Arial" w:cs="Arial"/>
                <w:b/>
                <w:i/>
                <w:color w:val="000000"/>
                <w:sz w:val="22"/>
                <w:szCs w:val="22"/>
              </w:rPr>
              <w:lastRenderedPageBreak/>
              <w:t>ou não início de prova material,</w:t>
            </w:r>
            <w:r w:rsidRPr="00B556DD">
              <w:rPr>
                <w:rFonts w:ascii="Arial" w:eastAsia="HG Mincho Light J" w:hAnsi="Arial" w:cs="Arial"/>
                <w:i/>
                <w:color w:val="000000"/>
                <w:sz w:val="22"/>
                <w:szCs w:val="22"/>
              </w:rPr>
              <w:t xml:space="preserve"> </w:t>
            </w:r>
            <w:r w:rsidRPr="00B556DD">
              <w:rPr>
                <w:rFonts w:ascii="Arial" w:eastAsia="HG Mincho Light J" w:hAnsi="Arial" w:cs="Arial"/>
                <w:b/>
                <w:i/>
                <w:color w:val="000000"/>
                <w:sz w:val="22"/>
                <w:szCs w:val="22"/>
              </w:rPr>
              <w:t>não se aplica a sumula 42 da TNU para inadmitir Incidentes de Uniformização</w:t>
            </w:r>
            <w:r w:rsidRPr="00B556DD">
              <w:rPr>
                <w:rFonts w:ascii="Arial" w:eastAsia="HG Mincho Light J" w:hAnsi="Arial" w:cs="Arial"/>
                <w:i/>
                <w:color w:val="000000"/>
                <w:sz w:val="22"/>
                <w:szCs w:val="22"/>
              </w:rPr>
              <w:t xml:space="preserve">, já que, nesses casos, </w:t>
            </w:r>
            <w:r w:rsidRPr="00B556DD">
              <w:rPr>
                <w:rFonts w:ascii="Arial" w:hAnsi="Arial" w:cs="Arial"/>
                <w:sz w:val="22"/>
                <w:szCs w:val="22"/>
              </w:rPr>
              <w:t xml:space="preserve">não se está diante de reexame da prova em si, mas </w:t>
            </w:r>
            <w:r w:rsidRPr="00E10FA6">
              <w:rPr>
                <w:rFonts w:ascii="Arial" w:hAnsi="Arial" w:cs="Arial"/>
                <w:b/>
                <w:sz w:val="22"/>
                <w:szCs w:val="22"/>
              </w:rPr>
              <w:t>de mero exame da conformidade da interpretação dada pela Turma Recursal à lei federal quanto aos critérios jurídicos adotados para valoração desta</w:t>
            </w:r>
            <w:r w:rsidRPr="00B556DD">
              <w:rPr>
                <w:rFonts w:ascii="Arial" w:hAnsi="Arial" w:cs="Arial"/>
                <w:sz w:val="22"/>
                <w:szCs w:val="22"/>
              </w:rPr>
              <w:t>. Entendimento sedimentado no âmbito do STJ e desta Turma de Uniformização”</w:t>
            </w:r>
          </w:p>
        </w:tc>
      </w:tr>
    </w:tbl>
    <w:p w:rsidR="00A96B15" w:rsidRDefault="00A96B15" w:rsidP="003E63D2">
      <w:pPr>
        <w:spacing w:line="240" w:lineRule="auto"/>
        <w:ind w:left="2268"/>
        <w:jc w:val="both"/>
        <w:rPr>
          <w:rFonts w:ascii="Arial" w:hAnsi="Arial" w:cs="Arial"/>
          <w:i/>
          <w:color w:val="000000"/>
          <w:sz w:val="18"/>
          <w:szCs w:val="18"/>
          <w:shd w:val="clear" w:color="auto" w:fill="FFFFFF"/>
        </w:rPr>
      </w:pPr>
    </w:p>
    <w:p w:rsidR="00A96B15" w:rsidRDefault="00A96B15" w:rsidP="003E63D2">
      <w:pPr>
        <w:spacing w:line="240" w:lineRule="auto"/>
        <w:ind w:left="2268"/>
        <w:jc w:val="both"/>
        <w:rPr>
          <w:rFonts w:ascii="Arial" w:hAnsi="Arial" w:cs="Arial"/>
          <w:i/>
          <w:color w:val="000000"/>
          <w:sz w:val="18"/>
          <w:szCs w:val="18"/>
          <w:shd w:val="clear" w:color="auto" w:fill="FFFFFF"/>
        </w:rPr>
      </w:pPr>
    </w:p>
    <w:p w:rsidR="00615A97" w:rsidRPr="00615A97" w:rsidRDefault="00615A97" w:rsidP="00615A97">
      <w:pPr>
        <w:shd w:val="clear" w:color="auto" w:fill="FFFFFF"/>
        <w:spacing w:line="240" w:lineRule="auto"/>
        <w:jc w:val="both"/>
        <w:rPr>
          <w:rFonts w:ascii="Arial" w:hAnsi="Arial" w:cs="Arial"/>
          <w:b/>
          <w:spacing w:val="2"/>
        </w:rPr>
      </w:pPr>
      <w:r w:rsidRPr="00615A97">
        <w:rPr>
          <w:rFonts w:ascii="Arial" w:hAnsi="Arial" w:cs="Arial"/>
          <w:b/>
          <w:spacing w:val="2"/>
        </w:rPr>
        <w:t>Precedente</w:t>
      </w:r>
      <w:r w:rsidR="00502D9A">
        <w:rPr>
          <w:rFonts w:ascii="Arial" w:hAnsi="Arial" w:cs="Arial"/>
          <w:b/>
          <w:spacing w:val="2"/>
        </w:rPr>
        <w:t>s</w:t>
      </w:r>
      <w:r w:rsidRPr="00615A97">
        <w:rPr>
          <w:rFonts w:ascii="Arial" w:hAnsi="Arial" w:cs="Arial"/>
          <w:b/>
          <w:spacing w:val="2"/>
        </w:rPr>
        <w:t xml:space="preserve"> Correlato</w:t>
      </w:r>
      <w:r w:rsidR="00502D9A">
        <w:rPr>
          <w:rFonts w:ascii="Arial" w:hAnsi="Arial" w:cs="Arial"/>
          <w:b/>
          <w:spacing w:val="2"/>
        </w:rPr>
        <w:t>s</w:t>
      </w:r>
      <w:r w:rsidRPr="00615A97">
        <w:rPr>
          <w:rFonts w:ascii="Arial" w:hAnsi="Arial" w:cs="Arial"/>
          <w:b/>
          <w:spacing w:val="2"/>
        </w:rPr>
        <w:t>:</w:t>
      </w:r>
    </w:p>
    <w:p w:rsidR="00615A97" w:rsidRDefault="00615A97" w:rsidP="000452FB">
      <w:pPr>
        <w:shd w:val="clear" w:color="auto" w:fill="FFFFFF"/>
        <w:spacing w:line="240" w:lineRule="auto"/>
        <w:ind w:left="2268"/>
        <w:jc w:val="both"/>
        <w:rPr>
          <w:rFonts w:ascii="Arial" w:hAnsi="Arial" w:cs="Arial"/>
          <w:spacing w:val="2"/>
          <w:sz w:val="20"/>
          <w:szCs w:val="20"/>
        </w:rPr>
      </w:pPr>
    </w:p>
    <w:p w:rsidR="005F621E" w:rsidRPr="005F621E" w:rsidRDefault="00491C36" w:rsidP="000452FB">
      <w:pPr>
        <w:shd w:val="clear" w:color="auto" w:fill="FFFFFF"/>
        <w:spacing w:line="240" w:lineRule="auto"/>
        <w:ind w:left="2268"/>
        <w:jc w:val="both"/>
        <w:rPr>
          <w:rFonts w:ascii="Arial" w:hAnsi="Arial" w:cs="Arial"/>
          <w:spacing w:val="2"/>
          <w:sz w:val="20"/>
          <w:szCs w:val="20"/>
        </w:rPr>
      </w:pPr>
      <w:r>
        <w:rPr>
          <w:rFonts w:ascii="Arial" w:hAnsi="Arial" w:cs="Arial"/>
          <w:spacing w:val="2"/>
          <w:sz w:val="20"/>
          <w:szCs w:val="20"/>
        </w:rPr>
        <w:t>“</w:t>
      </w:r>
      <w:r w:rsidR="005F621E" w:rsidRPr="005F621E">
        <w:rPr>
          <w:rFonts w:ascii="Arial" w:hAnsi="Arial" w:cs="Arial"/>
          <w:spacing w:val="2"/>
          <w:sz w:val="20"/>
          <w:szCs w:val="20"/>
        </w:rPr>
        <w:t xml:space="preserve">PEDIDO DE UNIFORMIZAÇÃO DE INTERPRETAÇÃO DE LEI FEDERAL. APOSENTADORIA POR IDADE. ATIVIDADE RURAL. INÍCIO DE PROVA MATERIAL. FICHA DE CADASTRO DE SINDICATO RURAL. VÍNCULO URBANO POR PERÍODO PONTUAL NÃO DESNATURA O REGIME DE ECONOMIA FAMILIAR. COMPROVAÇÃO DE CARÊNCIA. QUESTÃO DE ORDEM Nº 20. INCIDENTE PARCIALMENTE PROVIDO. 1. O requerente interpôs pedido de uniformização de jurisprudência em face de acórdão proferido pela Turma Recursal da Seção Judiciária Federal do Amazonas, que confirmou a sentença de improcedência, ao fundamento de fragilidade da prova material e de que o exercício de atividade urbana no período de janeiro de 2005 a julho de 2007 impede a concessão do benefício de aposentadoria rural. 2. Alegou que o acórdão recorrido diverge da jurisprudência dessa Turma Nacional de Uniformização (PEDILEF 200670950115762; PEDILEF 200950520004680; PEDILEF 5023355920074058100; PEDILEF 2004.81.10.01.3382-5-CE e Súmula 06) e do STJ (AgRg no REsp 1399389 GO 2011/0026930-1; AgRg nos EDcl no RECURSO ESPECIAL Nº 1.057.059  PR), segundo as quais o exercício de atividade urbana em períodos pontuais não afasta o direito à aposentadoria rural e que a certidão de casamento e a ficha de cadastro de sindicato rural são documentos idôneos como início de prova material. 3. A divergência está caracterizada. 4. </w:t>
      </w:r>
      <w:r w:rsidR="005F621E" w:rsidRPr="005F621E">
        <w:rPr>
          <w:rFonts w:ascii="Arial" w:hAnsi="Arial" w:cs="Arial"/>
          <w:b/>
          <w:i/>
          <w:spacing w:val="2"/>
          <w:sz w:val="20"/>
          <w:szCs w:val="20"/>
        </w:rPr>
        <w:t xml:space="preserve">Em sede de incidente de uniformização de jurisprudência, não cabe o reexame da prova analisada pelas instâncias ordinárias para verificação se determinado fato restou ou não comprovado. </w:t>
      </w:r>
      <w:r w:rsidR="005F621E" w:rsidRPr="005F621E">
        <w:rPr>
          <w:rFonts w:ascii="Arial" w:hAnsi="Arial" w:cs="Arial"/>
          <w:b/>
          <w:i/>
          <w:spacing w:val="2"/>
          <w:sz w:val="20"/>
          <w:szCs w:val="20"/>
          <w:u w:val="single"/>
        </w:rPr>
        <w:t>Isso não impede, contudo, que a Turma de Uniformização verifique se os julgados comparados adotam o mesmo critério jurídico quanto às espécies de documentos admissíveis em tese como início de prova material do tempo de serviço rural, e se o acórdão recorrido seguiu a interpretação fixada com relação às provas mencionadas no próprio corpo da decisão. Neste caso, não se está diante de reexame da prova em si, mas de mero exame da conformidade da interpretação dada pela Turma Recursal à lei federal</w:t>
      </w:r>
      <w:r w:rsidR="005F621E" w:rsidRPr="005F621E">
        <w:rPr>
          <w:rFonts w:ascii="Arial" w:hAnsi="Arial" w:cs="Arial"/>
          <w:spacing w:val="2"/>
          <w:sz w:val="20"/>
          <w:szCs w:val="20"/>
        </w:rPr>
        <w:t xml:space="preserve"> (art. 106 da Lei nº 8.213/91 e Código de Processo Civil) quanto aos critérios jurídicos adotados para valoração desta. 5. </w:t>
      </w:r>
      <w:r w:rsidR="005F621E" w:rsidRPr="005F621E">
        <w:rPr>
          <w:rFonts w:ascii="Arial" w:hAnsi="Arial" w:cs="Arial"/>
          <w:b/>
          <w:spacing w:val="2"/>
          <w:sz w:val="20"/>
          <w:szCs w:val="20"/>
          <w:u w:val="single"/>
        </w:rPr>
        <w:t>Sem necessidade de realizar o exame de qualquer prova que não as referidas na própria sentença mantida pelo acórdão recorrido, verifica-se que a interpretação dada pela Turma Recursal à exigência estabelecida nos arts. 55, § 3º e 106 da Lei n.º 8.213/91 e a natureza das provas mencionadas na sentença encontra-se em divergência com a interpretação dada por esta Turma Nacional de Uniformização e pelo Superior Tribunal de Justiça</w:t>
      </w:r>
      <w:r w:rsidR="005F621E" w:rsidRPr="005F621E">
        <w:rPr>
          <w:rFonts w:ascii="Arial" w:hAnsi="Arial" w:cs="Arial"/>
          <w:spacing w:val="2"/>
          <w:sz w:val="20"/>
          <w:szCs w:val="20"/>
        </w:rPr>
        <w:t xml:space="preserve">. </w:t>
      </w:r>
      <w:r>
        <w:rPr>
          <w:rFonts w:ascii="Arial" w:hAnsi="Arial" w:cs="Arial"/>
          <w:spacing w:val="2"/>
          <w:sz w:val="20"/>
          <w:szCs w:val="20"/>
        </w:rPr>
        <w:t xml:space="preserve">(...) </w:t>
      </w:r>
      <w:r w:rsidR="005F621E" w:rsidRPr="005F621E">
        <w:rPr>
          <w:rFonts w:ascii="Arial" w:hAnsi="Arial" w:cs="Arial"/>
          <w:spacing w:val="2"/>
          <w:sz w:val="20"/>
          <w:szCs w:val="20"/>
        </w:rPr>
        <w:t xml:space="preserve">. 7. Referida interpretação encontra-se em franca divergência com a jurisprudência uniformizada por esta Turma Nacional de Uniformização e pelo Superior Tribunal de Justiça, </w:t>
      </w:r>
      <w:r w:rsidR="005F621E" w:rsidRPr="005F621E">
        <w:rPr>
          <w:rFonts w:ascii="Arial" w:hAnsi="Arial" w:cs="Arial"/>
          <w:b/>
          <w:spacing w:val="2"/>
          <w:sz w:val="20"/>
          <w:szCs w:val="20"/>
          <w:u w:val="single"/>
        </w:rPr>
        <w:t>que admitem amplamente o registro de ocupação rural constante de registros públicos como início de prova material, não obstante estas derivem de declaração das partes</w:t>
      </w:r>
      <w:r w:rsidR="005F621E" w:rsidRPr="005F621E">
        <w:rPr>
          <w:rFonts w:ascii="Arial" w:hAnsi="Arial" w:cs="Arial"/>
          <w:spacing w:val="2"/>
          <w:sz w:val="20"/>
          <w:szCs w:val="20"/>
        </w:rPr>
        <w:t xml:space="preserve">. Neste sentido, </w:t>
      </w:r>
      <w:r w:rsidR="005F621E" w:rsidRPr="005F621E">
        <w:rPr>
          <w:rFonts w:ascii="Arial" w:hAnsi="Arial" w:cs="Arial"/>
          <w:b/>
          <w:spacing w:val="2"/>
          <w:sz w:val="20"/>
          <w:szCs w:val="20"/>
          <w:u w:val="single"/>
        </w:rPr>
        <w:t xml:space="preserve">já se encontra inclusive sumulado por </w:t>
      </w:r>
      <w:r w:rsidR="000C6831">
        <w:rPr>
          <w:rFonts w:ascii="Arial" w:hAnsi="Arial" w:cs="Arial"/>
          <w:b/>
          <w:spacing w:val="2"/>
          <w:sz w:val="20"/>
          <w:szCs w:val="20"/>
          <w:u w:val="single"/>
        </w:rPr>
        <w:t xml:space="preserve">esta TNU o entendimento de </w:t>
      </w:r>
      <w:proofErr w:type="gramStart"/>
      <w:r w:rsidR="000C6831">
        <w:rPr>
          <w:rFonts w:ascii="Arial" w:hAnsi="Arial" w:cs="Arial"/>
          <w:b/>
          <w:spacing w:val="2"/>
          <w:sz w:val="20"/>
          <w:szCs w:val="20"/>
          <w:u w:val="single"/>
        </w:rPr>
        <w:t>que  a</w:t>
      </w:r>
      <w:proofErr w:type="gramEnd"/>
      <w:r w:rsidR="005F621E" w:rsidRPr="005F621E">
        <w:rPr>
          <w:rFonts w:ascii="Arial" w:hAnsi="Arial" w:cs="Arial"/>
          <w:b/>
          <w:spacing w:val="2"/>
          <w:sz w:val="20"/>
          <w:szCs w:val="20"/>
          <w:u w:val="single"/>
        </w:rPr>
        <w:t xml:space="preserve"> certidão de </w:t>
      </w:r>
      <w:r w:rsidR="005F621E" w:rsidRPr="005F621E">
        <w:rPr>
          <w:rFonts w:ascii="Arial" w:hAnsi="Arial" w:cs="Arial"/>
          <w:b/>
          <w:spacing w:val="2"/>
          <w:sz w:val="20"/>
          <w:szCs w:val="20"/>
          <w:u w:val="single"/>
        </w:rPr>
        <w:lastRenderedPageBreak/>
        <w:t>casamento ou outro documento idôneo que evidencie a condição de trabalhador rural do cônjuge constitui início razoável de prova</w:t>
      </w:r>
      <w:r w:rsidR="000C6831">
        <w:rPr>
          <w:rFonts w:ascii="Arial" w:hAnsi="Arial" w:cs="Arial"/>
          <w:b/>
          <w:spacing w:val="2"/>
          <w:sz w:val="20"/>
          <w:szCs w:val="20"/>
          <w:u w:val="single"/>
        </w:rPr>
        <w:t xml:space="preserve"> material da atividade rurícola</w:t>
      </w:r>
      <w:r w:rsidR="005F621E" w:rsidRPr="005F621E">
        <w:rPr>
          <w:rFonts w:ascii="Arial" w:hAnsi="Arial" w:cs="Arial"/>
          <w:b/>
          <w:spacing w:val="2"/>
          <w:sz w:val="20"/>
          <w:szCs w:val="20"/>
          <w:u w:val="single"/>
        </w:rPr>
        <w:t xml:space="preserve"> (Enunciado nº 06</w:t>
      </w:r>
      <w:r w:rsidR="005F621E" w:rsidRPr="005F621E">
        <w:rPr>
          <w:rFonts w:ascii="Arial" w:hAnsi="Arial" w:cs="Arial"/>
          <w:spacing w:val="2"/>
          <w:sz w:val="20"/>
          <w:szCs w:val="20"/>
        </w:rPr>
        <w:t xml:space="preserve">). 8. Quanto à descaracterização do direito à aposentadoria rural em função do vínculo urbano com duração de 2 anos e meio com a Prefeitura Municipal de Tefé/AM (janeiro de 2005 a julho de 2007), também restou demonstrada divergência jurisprudencial entre o acórdão recorrido e a jurisprudência desta Turma Nacional. </w:t>
      </w:r>
      <w:r w:rsidR="000C6831">
        <w:rPr>
          <w:rFonts w:ascii="Arial" w:hAnsi="Arial" w:cs="Arial"/>
          <w:spacing w:val="2"/>
          <w:sz w:val="20"/>
          <w:szCs w:val="20"/>
        </w:rPr>
        <w:t xml:space="preserve">(...) </w:t>
      </w:r>
      <w:r w:rsidR="005F621E" w:rsidRPr="005F621E">
        <w:rPr>
          <w:rFonts w:ascii="Arial" w:hAnsi="Arial" w:cs="Arial"/>
          <w:spacing w:val="2"/>
          <w:sz w:val="20"/>
          <w:szCs w:val="20"/>
        </w:rPr>
        <w:t xml:space="preserve"> 11. Apesar de comprovada a divergência e a necessidade de reforma do acórdão para garantir a uniformidade de interpretação da lei federal, impossível a conclusão do julgamento de mérito nesta instância, eis que não há no acórdão recorrido conclusão a respeito da prova testemunhal produzida no caso concreto, havendo necessidade de análise de aspecto fático, o que é incabível no presente incidente. Aplicação do decid</w:t>
      </w:r>
      <w:r w:rsidR="000C6831">
        <w:rPr>
          <w:rFonts w:ascii="Arial" w:hAnsi="Arial" w:cs="Arial"/>
          <w:spacing w:val="2"/>
          <w:sz w:val="20"/>
          <w:szCs w:val="20"/>
        </w:rPr>
        <w:t>ido na Questão de Ordem nº 20</w:t>
      </w:r>
      <w:r w:rsidR="000C6831" w:rsidRPr="000C6831">
        <w:rPr>
          <w:rFonts w:ascii="Arial" w:hAnsi="Arial" w:cs="Arial"/>
          <w:spacing w:val="2"/>
          <w:sz w:val="20"/>
          <w:szCs w:val="20"/>
          <w:u w:val="single"/>
        </w:rPr>
        <w:t xml:space="preserve">: </w:t>
      </w:r>
      <w:r w:rsidR="005F621E" w:rsidRPr="005F621E">
        <w:rPr>
          <w:rFonts w:ascii="Arial" w:hAnsi="Arial" w:cs="Arial"/>
          <w:b/>
          <w:spacing w:val="2"/>
          <w:sz w:val="20"/>
          <w:szCs w:val="20"/>
          <w:u w:val="single"/>
        </w:rPr>
        <w:t>Se a Turma Nacional decidir que o incidente de uniformização deva ser conhecido e provido no que toca a matéria de direito e se tal conclusão importar na necessidade de exame de provas sobre matéria de fato, que foram requeridas e não produzidas, ou foram produzidas e não apreciadas pelas instâncias inferiores, a sentença ou acórdão da Turma Recursal deverá ser anulado para que tais provas sejam produzidas ou apreciadas, ficando o juiz de 1º grau e a respectiva Turma Recursal vinculados ao entendimento da Turma nacional sobre a matéria de direito</w:t>
      </w:r>
      <w:r w:rsidR="005F621E" w:rsidRPr="005F621E">
        <w:rPr>
          <w:rFonts w:ascii="Arial" w:hAnsi="Arial" w:cs="Arial"/>
          <w:spacing w:val="2"/>
          <w:sz w:val="20"/>
          <w:szCs w:val="20"/>
        </w:rPr>
        <w:t xml:space="preserve"> (DJ 11/09/2006). 12. Incidente conhecido e parcialmente provido para determinar o retorno dos autos à turma recursal de origem para que o restante do conjunto probatório seja reavaliado, </w:t>
      </w:r>
      <w:r w:rsidR="005F621E" w:rsidRPr="005F621E">
        <w:rPr>
          <w:rFonts w:ascii="Arial" w:hAnsi="Arial" w:cs="Arial"/>
          <w:b/>
          <w:spacing w:val="2"/>
          <w:sz w:val="20"/>
          <w:szCs w:val="20"/>
          <w:u w:val="single"/>
        </w:rPr>
        <w:t>fixando a premissa de que os documentos referidos no acórdão satisfazem a exigência de início de prova material da atividade rural</w:t>
      </w:r>
      <w:r w:rsidR="005F621E" w:rsidRPr="005F621E">
        <w:rPr>
          <w:rFonts w:ascii="Arial" w:hAnsi="Arial" w:cs="Arial"/>
          <w:spacing w:val="2"/>
          <w:sz w:val="20"/>
          <w:szCs w:val="20"/>
        </w:rPr>
        <w:t xml:space="preserve"> e que o exercício de atividade urbana intercalada não desnatura o regime de economia familiar, se não for evidenciada ruptura definitiva do trabalhador com o meio rural.</w:t>
      </w:r>
    </w:p>
    <w:p w:rsidR="005F621E" w:rsidRDefault="005F621E" w:rsidP="000452FB">
      <w:pPr>
        <w:shd w:val="clear" w:color="auto" w:fill="FFFFFF"/>
        <w:spacing w:line="240" w:lineRule="auto"/>
        <w:ind w:left="2268"/>
        <w:jc w:val="both"/>
        <w:rPr>
          <w:rFonts w:ascii="Arial" w:hAnsi="Arial" w:cs="Arial"/>
          <w:spacing w:val="2"/>
          <w:sz w:val="20"/>
          <w:szCs w:val="20"/>
        </w:rPr>
      </w:pPr>
      <w:r w:rsidRPr="005F621E">
        <w:rPr>
          <w:rFonts w:ascii="Arial" w:hAnsi="Arial" w:cs="Arial"/>
          <w:spacing w:val="2"/>
          <w:sz w:val="20"/>
          <w:szCs w:val="20"/>
        </w:rPr>
        <w:t>(TNU - PEDILEF: 00072669020114013200, Relator: JUIZ FEDERAL ANDRÉ CARVALHO MONTEIRO, Data de Julgamento: 04/06/2014, Data de Publicação: 20/06/2014)</w:t>
      </w:r>
      <w:r w:rsidR="000452FB">
        <w:rPr>
          <w:rFonts w:ascii="Arial" w:hAnsi="Arial" w:cs="Arial"/>
          <w:spacing w:val="2"/>
          <w:sz w:val="20"/>
          <w:szCs w:val="20"/>
        </w:rPr>
        <w:t xml:space="preserve">” </w:t>
      </w:r>
      <w:proofErr w:type="gramStart"/>
      <w:r w:rsidR="000452FB">
        <w:rPr>
          <w:rFonts w:ascii="Arial" w:hAnsi="Arial" w:cs="Arial"/>
          <w:spacing w:val="2"/>
          <w:sz w:val="20"/>
          <w:szCs w:val="20"/>
        </w:rPr>
        <w:t>( grifamos</w:t>
      </w:r>
      <w:proofErr w:type="gramEnd"/>
      <w:r w:rsidR="000452FB">
        <w:rPr>
          <w:rFonts w:ascii="Arial" w:hAnsi="Arial" w:cs="Arial"/>
          <w:spacing w:val="2"/>
          <w:sz w:val="20"/>
          <w:szCs w:val="20"/>
        </w:rPr>
        <w:t>)</w:t>
      </w:r>
    </w:p>
    <w:p w:rsidR="000452FB" w:rsidRDefault="000452FB" w:rsidP="000452FB">
      <w:pPr>
        <w:shd w:val="clear" w:color="auto" w:fill="FFFFFF"/>
        <w:spacing w:line="240" w:lineRule="auto"/>
        <w:ind w:left="2268"/>
        <w:jc w:val="both"/>
        <w:rPr>
          <w:rFonts w:ascii="Arial" w:hAnsi="Arial" w:cs="Arial"/>
          <w:spacing w:val="2"/>
          <w:sz w:val="20"/>
          <w:szCs w:val="20"/>
        </w:rPr>
      </w:pPr>
    </w:p>
    <w:p w:rsidR="000452FB" w:rsidRPr="005F621E" w:rsidRDefault="000452FB" w:rsidP="000452FB">
      <w:pPr>
        <w:shd w:val="clear" w:color="auto" w:fill="FFFFFF"/>
        <w:spacing w:line="240" w:lineRule="auto"/>
        <w:ind w:left="2268"/>
        <w:jc w:val="both"/>
        <w:rPr>
          <w:rFonts w:ascii="Arial" w:hAnsi="Arial" w:cs="Arial"/>
          <w:spacing w:val="2"/>
          <w:sz w:val="20"/>
          <w:szCs w:val="20"/>
        </w:rPr>
      </w:pPr>
    </w:p>
    <w:p w:rsidR="005E5EA9" w:rsidRPr="00BA35BD" w:rsidRDefault="005E5EA9" w:rsidP="005E5EA9">
      <w:pPr>
        <w:spacing w:line="240" w:lineRule="auto"/>
        <w:jc w:val="both"/>
        <w:rPr>
          <w:rFonts w:ascii="Arial" w:hAnsi="Arial" w:cs="Arial"/>
          <w:b/>
          <w:color w:val="000000"/>
          <w:u w:val="single"/>
          <w:shd w:val="clear" w:color="auto" w:fill="FFFFFF"/>
        </w:rPr>
      </w:pPr>
      <w:r w:rsidRPr="00BA35BD">
        <w:rPr>
          <w:rFonts w:ascii="Arial" w:hAnsi="Arial" w:cs="Arial"/>
          <w:b/>
          <w:color w:val="000000"/>
          <w:u w:val="single"/>
          <w:shd w:val="clear" w:color="auto" w:fill="FFFFFF"/>
        </w:rPr>
        <w:t>TESE Nº 4:</w:t>
      </w:r>
    </w:p>
    <w:p w:rsidR="005E5EA9" w:rsidRDefault="005E5EA9" w:rsidP="005E5EA9">
      <w:pPr>
        <w:spacing w:line="240" w:lineRule="auto"/>
        <w:jc w:val="both"/>
        <w:rPr>
          <w:rFonts w:ascii="Arial" w:hAnsi="Arial" w:cs="Arial"/>
          <w:b/>
          <w:color w:val="000000"/>
          <w:shd w:val="clear" w:color="auto" w:fill="FFFFFF"/>
        </w:rPr>
      </w:pPr>
    </w:p>
    <w:tbl>
      <w:tblPr>
        <w:tblStyle w:val="Tabelacomgrade"/>
        <w:tblW w:w="0" w:type="auto"/>
        <w:tblInd w:w="2263" w:type="dxa"/>
        <w:tblLook w:val="04A0" w:firstRow="1" w:lastRow="0" w:firstColumn="1" w:lastColumn="0" w:noHBand="0" w:noVBand="1"/>
      </w:tblPr>
      <w:tblGrid>
        <w:gridCol w:w="6799"/>
      </w:tblGrid>
      <w:tr w:rsidR="005E5EA9" w:rsidTr="005C05C8">
        <w:tc>
          <w:tcPr>
            <w:tcW w:w="6799" w:type="dxa"/>
          </w:tcPr>
          <w:p w:rsidR="005E5EA9" w:rsidRDefault="005C05C8" w:rsidP="005E5EA9">
            <w:pPr>
              <w:spacing w:line="240" w:lineRule="auto"/>
              <w:jc w:val="both"/>
              <w:rPr>
                <w:rFonts w:ascii="Arial" w:hAnsi="Arial" w:cs="Arial"/>
                <w:b/>
                <w:color w:val="000000"/>
                <w:shd w:val="clear" w:color="auto" w:fill="FFFFFF"/>
              </w:rPr>
            </w:pPr>
            <w:r w:rsidRPr="00CE4A67">
              <w:rPr>
                <w:rFonts w:ascii="Arial" w:eastAsia="HG Mincho Light J" w:hAnsi="Arial" w:cs="Arial"/>
                <w:i/>
                <w:color w:val="000000"/>
              </w:rPr>
              <w:t>“</w:t>
            </w:r>
            <w:r w:rsidRPr="005C05C8">
              <w:rPr>
                <w:rFonts w:ascii="Arial" w:eastAsia="HG Mincho Light J" w:hAnsi="Arial" w:cs="Arial"/>
                <w:b/>
                <w:i/>
                <w:color w:val="000000"/>
              </w:rPr>
              <w:t>Não se aplica a sumula 54 da TNU aos casos em que o inicio de prova material for relativo a data longínqua (período distante do período de carência) ao período imediatamente anterior ao requerimento do benefício ou ao implemento da idade, mas sua eficácia temporal for ampliada por firme prova testemunhal,</w:t>
            </w:r>
            <w:r w:rsidRPr="00CE4A67">
              <w:rPr>
                <w:rFonts w:ascii="Arial" w:eastAsia="HG Mincho Light J" w:hAnsi="Arial" w:cs="Arial"/>
                <w:i/>
                <w:color w:val="000000"/>
              </w:rPr>
              <w:t xml:space="preserve"> a teor dos inúmeros precedentes da TNU, do STJ e deste Tribunal. Qualquer decisão que aplicar a sumula 54 da TNU deve relacioná-la as circunstâncias fáticas e probatórias especificas em observância ao art. 489, V, do NCPC.</w:t>
            </w:r>
            <w:r>
              <w:rPr>
                <w:rFonts w:ascii="Arial" w:eastAsia="HG Mincho Light J" w:hAnsi="Arial" w:cs="Arial"/>
                <w:i/>
                <w:color w:val="000000"/>
              </w:rPr>
              <w:t>”</w:t>
            </w:r>
          </w:p>
        </w:tc>
      </w:tr>
    </w:tbl>
    <w:p w:rsidR="005E5EA9" w:rsidRPr="00E10FA6" w:rsidRDefault="005E5EA9" w:rsidP="005E5EA9">
      <w:pPr>
        <w:spacing w:line="240" w:lineRule="auto"/>
        <w:jc w:val="both"/>
        <w:rPr>
          <w:rFonts w:ascii="Arial" w:hAnsi="Arial" w:cs="Arial"/>
          <w:b/>
          <w:color w:val="000000"/>
          <w:shd w:val="clear" w:color="auto" w:fill="FFFFFF"/>
        </w:rPr>
      </w:pPr>
    </w:p>
    <w:p w:rsidR="00A96B15" w:rsidRDefault="00A96B15" w:rsidP="005E5EA9">
      <w:pPr>
        <w:spacing w:line="240" w:lineRule="auto"/>
        <w:jc w:val="both"/>
        <w:rPr>
          <w:rFonts w:ascii="Arial" w:hAnsi="Arial" w:cs="Arial"/>
          <w:i/>
          <w:color w:val="000000"/>
          <w:sz w:val="18"/>
          <w:szCs w:val="18"/>
          <w:shd w:val="clear" w:color="auto" w:fill="FFFFFF"/>
        </w:rPr>
      </w:pPr>
    </w:p>
    <w:p w:rsidR="00A96B15" w:rsidRDefault="00A96B15" w:rsidP="003E63D2">
      <w:pPr>
        <w:spacing w:line="240" w:lineRule="auto"/>
        <w:ind w:left="2268"/>
        <w:jc w:val="both"/>
        <w:rPr>
          <w:rFonts w:ascii="Arial" w:hAnsi="Arial" w:cs="Arial"/>
          <w:i/>
          <w:color w:val="000000"/>
          <w:sz w:val="18"/>
          <w:szCs w:val="18"/>
          <w:shd w:val="clear" w:color="auto" w:fill="FFFFFF"/>
        </w:rPr>
      </w:pPr>
    </w:p>
    <w:p w:rsidR="003E63D2" w:rsidRPr="00567309" w:rsidRDefault="003E63D2" w:rsidP="003E63D2">
      <w:pPr>
        <w:spacing w:line="240" w:lineRule="auto"/>
        <w:ind w:left="2268"/>
        <w:jc w:val="both"/>
        <w:rPr>
          <w:rFonts w:ascii="Arial" w:hAnsi="Arial" w:cs="Arial"/>
          <w:i/>
          <w:color w:val="000000"/>
          <w:sz w:val="18"/>
          <w:szCs w:val="18"/>
          <w:shd w:val="clear" w:color="auto" w:fill="FFFFFF"/>
        </w:rPr>
      </w:pPr>
      <w:r w:rsidRPr="00567309">
        <w:rPr>
          <w:rFonts w:ascii="Arial" w:hAnsi="Arial" w:cs="Arial"/>
          <w:i/>
          <w:color w:val="000000"/>
          <w:sz w:val="18"/>
          <w:szCs w:val="18"/>
          <w:shd w:val="clear" w:color="auto" w:fill="FFFFFF"/>
        </w:rPr>
        <w:t xml:space="preserve">“PREVIDENCIÁRIO. APOSENTADORIA POR TEMPO DE CONTRIBUIÇÃO. CÔMPUTO DE TEMPO DE ATIVIDADE RURAL. INÍCIO DE PROVA MATERIAL CORROBORADA POR PROVA TESTEMUNHAL. LIMITAÇÃO DO PERÍODO AVERBADO. PARCIAL PROVIMENTO DA APELAÇÃO DO INSS. 1(...)  5. O início de prova material consiste em cópia do certificado de alistamento militar em 1968, que informa a profissão de lavrador (f. 19), e declaração de exercício de atividade rural emitida em 2010 pelo sindicato de Maria da Fé - MG (f. 39/41). 6. As testemunhas </w:t>
      </w:r>
      <w:r w:rsidRPr="00567309">
        <w:rPr>
          <w:rFonts w:ascii="Arial" w:hAnsi="Arial" w:cs="Arial"/>
          <w:i/>
          <w:color w:val="000000"/>
          <w:sz w:val="18"/>
          <w:szCs w:val="18"/>
          <w:shd w:val="clear" w:color="auto" w:fill="FFFFFF"/>
        </w:rPr>
        <w:lastRenderedPageBreak/>
        <w:t xml:space="preserve">Sebastião de Lélis Corrêa e João Mira, ouvidas em audiência dia 11/04/2012 (f. 117/119), afirmaram conhecer o autor desde criança e que ele trabalhava com seu pai na roça, plantando arroz, feijão e milho, desde os 10 anos de idade. Informam que o autor se mudou para Itajubá - MG em 1969, passando a trabalhar com o irmão na cidade. 7. </w:t>
      </w:r>
      <w:r w:rsidRPr="00567309">
        <w:rPr>
          <w:rFonts w:ascii="Arial" w:hAnsi="Arial" w:cs="Arial"/>
          <w:b/>
          <w:i/>
          <w:color w:val="000000"/>
          <w:sz w:val="18"/>
          <w:szCs w:val="18"/>
          <w:shd w:val="clear" w:color="auto" w:fill="FFFFFF"/>
        </w:rPr>
        <w:t>O Superior Tribunal de Justiça - STJ, nas causas de trabalhadores rurais, tem adotado critérios interpretativos favorecedores de uma jurisdição socialmente justa, admitindo mais amplamente documentação comprobatória da atividade desenvolvida. As certidões de nascimento, casamento e óbito, bem como certidão da Justiça Eleitoral, carteira de associação ao Sindicato dos Trabalhadores Rurais e contratos de parceria agrícola são aceitos como início da prova material, nos casos em que a profissão rural estiver expressamente consignada</w:t>
      </w:r>
      <w:r w:rsidRPr="00567309">
        <w:rPr>
          <w:rFonts w:ascii="Arial" w:hAnsi="Arial" w:cs="Arial"/>
          <w:i/>
          <w:color w:val="000000"/>
          <w:sz w:val="18"/>
          <w:szCs w:val="18"/>
          <w:shd w:val="clear" w:color="auto" w:fill="FFFFFF"/>
        </w:rPr>
        <w:t xml:space="preserve">. Admite a condição profissional de trabalhador rural de um dos cônjuges, constante de assentamento em Registro Civil, seja extensível ao outro, com vistas à comprovação de atividade rurícola. </w:t>
      </w:r>
      <w:r w:rsidRPr="00502D9A">
        <w:rPr>
          <w:rFonts w:ascii="Arial" w:hAnsi="Arial" w:cs="Arial"/>
          <w:b/>
          <w:i/>
          <w:color w:val="000000"/>
          <w:sz w:val="18"/>
          <w:szCs w:val="18"/>
          <w:u w:val="single"/>
          <w:shd w:val="clear" w:color="auto" w:fill="FFFFFF"/>
        </w:rPr>
        <w:t>Orienta ainda no sentido de que, para a concessão de aposentadoria por idade rural, não se exige que a prova material do labor agrícola se refira a todo o período de carência, desde que haja prova testemunhal apta a ampliar a eficácia probatória dos documentos</w:t>
      </w:r>
      <w:r w:rsidRPr="00567309">
        <w:rPr>
          <w:rFonts w:ascii="Arial" w:hAnsi="Arial" w:cs="Arial"/>
          <w:i/>
          <w:color w:val="000000"/>
          <w:sz w:val="18"/>
          <w:szCs w:val="18"/>
          <w:shd w:val="clear" w:color="auto" w:fill="FFFFFF"/>
        </w:rPr>
        <w:t xml:space="preserve"> (AR 4.094/SP, Rel. Ministra Maria Thereza de Assis Moura, Terceira Seção, julgado em 26/09/2012, DJe 08/10/2012</w:t>
      </w:r>
      <w:proofErr w:type="gramStart"/>
      <w:r w:rsidRPr="00567309">
        <w:rPr>
          <w:rFonts w:ascii="Arial" w:hAnsi="Arial" w:cs="Arial"/>
          <w:i/>
          <w:color w:val="000000"/>
          <w:sz w:val="18"/>
          <w:szCs w:val="18"/>
          <w:shd w:val="clear" w:color="auto" w:fill="FFFFFF"/>
        </w:rPr>
        <w:t>).(</w:t>
      </w:r>
      <w:proofErr w:type="gramEnd"/>
      <w:r w:rsidRPr="00567309">
        <w:rPr>
          <w:rFonts w:ascii="Arial" w:hAnsi="Arial" w:cs="Arial"/>
          <w:i/>
          <w:color w:val="000000"/>
          <w:sz w:val="18"/>
          <w:szCs w:val="18"/>
          <w:shd w:val="clear" w:color="auto" w:fill="FFFFFF"/>
        </w:rPr>
        <w:t xml:space="preserve">EREsp 1171565/SP, Rel. Ministro NEFI CORDEIRO, TERCEIRA SEÇÃO, julgado em 25/02/2015, DJe 05/03/2015) (...) . 9. A entrevista rural junto ao INSS foi favorável ao autor, confirmando o exercício de atividade rural, em regime de economia família, no período em questão (f. 50/58), porém a Autarquia homologou apenas o ano de 1968 (f. 58), </w:t>
      </w:r>
      <w:r w:rsidRPr="00502D9A">
        <w:rPr>
          <w:rFonts w:ascii="Arial" w:hAnsi="Arial" w:cs="Arial"/>
          <w:b/>
          <w:i/>
          <w:color w:val="000000"/>
          <w:sz w:val="18"/>
          <w:szCs w:val="18"/>
          <w:u w:val="single"/>
          <w:shd w:val="clear" w:color="auto" w:fill="FFFFFF"/>
        </w:rPr>
        <w:t>em virtude do início de prova material apresentado (certidão de alistamento militar em 1968). A prova testemunhal produzida em juízo permite a ampliação desse período, retroagindo aos 12 anos de idade do autor, não se exigindo a apresentação de um documento para cada ano de atividade rural. 10. O Superior Tribunal de Justiça - STJ aplica a idade mínima de 12 anos para a averbação de atividade rural, uma vez que a participação no trabalho rural antes deste limite etário seria secundária ante a ausência de vigor físico para exercer a atividade de maneira plena</w:t>
      </w:r>
      <w:r w:rsidRPr="00567309">
        <w:rPr>
          <w:rFonts w:ascii="Arial" w:hAnsi="Arial" w:cs="Arial"/>
          <w:i/>
          <w:color w:val="000000"/>
          <w:sz w:val="18"/>
          <w:szCs w:val="18"/>
          <w:shd w:val="clear" w:color="auto" w:fill="FFFFFF"/>
        </w:rPr>
        <w:t xml:space="preserve"> (STJ, REsp 529386 / SC, Rel. Min. José Arnaldo da Fonseca, 5ª Turma, Unânime, DJ 22/03/2004, p. 349). 11. Mantida a sentença que reconheceu o direito do autor à aposentadoria proporcional por tempo de contribuição, a partir do requerimento apresentado em 13/09/2010 (f. 64), porém agora com 33 anos e 16 dias, mediante o cômputo do trabalho rural acima especificado, já excluídos os quatro meses de trabalho no ano de 1970 que deixaram de ser reconhecidos. 12. Parcial provimento da apelação do INSS para limitar a averbação do tempo rural do autor ao período de 22/08/1962 a 31/12/1969, mantendo a sentença em todos os demais termos.A Câmara, à unanimidade, DEU PARCIAL PROVIMENTO À APELAÇÃO DO </w:t>
      </w:r>
      <w:proofErr w:type="gramStart"/>
      <w:r w:rsidRPr="00567309">
        <w:rPr>
          <w:rFonts w:ascii="Arial" w:hAnsi="Arial" w:cs="Arial"/>
          <w:i/>
          <w:color w:val="000000"/>
          <w:sz w:val="18"/>
          <w:szCs w:val="18"/>
          <w:shd w:val="clear" w:color="auto" w:fill="FFFFFF"/>
        </w:rPr>
        <w:t>INSS.</w:t>
      </w:r>
      <w:r w:rsidRPr="00567309">
        <w:rPr>
          <w:rFonts w:ascii="Arial" w:hAnsi="Arial" w:cs="Arial"/>
          <w:i/>
          <w:color w:val="000000"/>
          <w:sz w:val="18"/>
          <w:szCs w:val="18"/>
        </w:rPr>
        <w:br/>
      </w:r>
      <w:r w:rsidRPr="00567309">
        <w:rPr>
          <w:rFonts w:ascii="Arial" w:hAnsi="Arial" w:cs="Arial"/>
          <w:i/>
          <w:color w:val="000000"/>
          <w:sz w:val="18"/>
          <w:szCs w:val="18"/>
          <w:shd w:val="clear" w:color="auto" w:fill="FFFFFF"/>
        </w:rPr>
        <w:t>(</w:t>
      </w:r>
      <w:proofErr w:type="gramEnd"/>
      <w:r w:rsidRPr="00567309">
        <w:rPr>
          <w:rFonts w:ascii="Arial" w:hAnsi="Arial" w:cs="Arial"/>
          <w:i/>
          <w:color w:val="000000"/>
          <w:sz w:val="18"/>
          <w:szCs w:val="18"/>
          <w:shd w:val="clear" w:color="auto" w:fill="FFFFFF"/>
        </w:rPr>
        <w:t>ACORDAO 00566170920134019199, JUIZ FEDERAL JOSÉ ALEXANDRE FRANCO, TRF1 - 1ª CÂMARA REGIONAL PREVIDENCIÁRIA DE JUIZ DE FORA, e-DJF1 DATA:31/10/2017 PAGINA:.)</w:t>
      </w:r>
    </w:p>
    <w:p w:rsidR="003E63D2" w:rsidRPr="00567309" w:rsidRDefault="003E63D2" w:rsidP="003E63D2">
      <w:pPr>
        <w:tabs>
          <w:tab w:val="left" w:pos="720"/>
        </w:tabs>
        <w:spacing w:line="240" w:lineRule="auto"/>
        <w:ind w:left="360"/>
        <w:jc w:val="both"/>
        <w:rPr>
          <w:rFonts w:ascii="Arial" w:eastAsia="HG Mincho Light J" w:hAnsi="Arial" w:cs="Arial"/>
          <w:b/>
          <w:color w:val="000000"/>
          <w:sz w:val="18"/>
          <w:szCs w:val="18"/>
        </w:rPr>
      </w:pPr>
    </w:p>
    <w:p w:rsidR="003E63D2" w:rsidRPr="00567309" w:rsidRDefault="003E63D2" w:rsidP="003E63D2">
      <w:pPr>
        <w:spacing w:line="240" w:lineRule="auto"/>
        <w:ind w:left="2268"/>
        <w:jc w:val="both"/>
        <w:rPr>
          <w:rFonts w:ascii="Arial" w:hAnsi="Arial" w:cs="Arial"/>
          <w:i/>
          <w:color w:val="000000"/>
          <w:sz w:val="18"/>
          <w:szCs w:val="18"/>
          <w:shd w:val="clear" w:color="auto" w:fill="FFFFFF"/>
        </w:rPr>
      </w:pPr>
      <w:r w:rsidRPr="00567309">
        <w:rPr>
          <w:rFonts w:ascii="Arial" w:hAnsi="Arial" w:cs="Arial"/>
          <w:i/>
          <w:color w:val="000000"/>
          <w:sz w:val="18"/>
          <w:szCs w:val="18"/>
          <w:shd w:val="clear" w:color="auto" w:fill="FFFFFF"/>
        </w:rPr>
        <w:t xml:space="preserve">PREVIDENCIÁRIO. APOSENTADORIA POR IDADE RURAL. INÍCIO DE PROVA MATERIAL CORROBORADO POR PROVA TESTEMUNHAL. POSSIBILIDADE. TERMO INICIAL. CONSECTÁRIOS LEGAIS. SENTENÇA PARCIALMENTE REFORMADA. (...)  3. A comprovação do trabalho rural durante o tempo exigido pela lei deve ser feita por prova documental que abranja todo o período </w:t>
      </w:r>
      <w:r w:rsidRPr="00502D9A">
        <w:rPr>
          <w:rFonts w:ascii="Arial" w:hAnsi="Arial" w:cs="Arial"/>
          <w:b/>
          <w:i/>
          <w:color w:val="000000"/>
          <w:sz w:val="18"/>
          <w:szCs w:val="18"/>
          <w:u w:val="single"/>
          <w:shd w:val="clear" w:color="auto" w:fill="FFFFFF"/>
        </w:rPr>
        <w:t>ou por início de prova material (documental) com eficácia temporal estendida por prova testemunhal</w:t>
      </w:r>
      <w:r w:rsidRPr="00502D9A">
        <w:rPr>
          <w:rFonts w:ascii="Arial" w:hAnsi="Arial" w:cs="Arial"/>
          <w:i/>
          <w:color w:val="000000"/>
          <w:sz w:val="18"/>
          <w:szCs w:val="18"/>
          <w:u w:val="single"/>
          <w:shd w:val="clear" w:color="auto" w:fill="FFFFFF"/>
        </w:rPr>
        <w:t>.</w:t>
      </w:r>
      <w:r w:rsidRPr="00567309">
        <w:rPr>
          <w:rFonts w:ascii="Arial" w:hAnsi="Arial" w:cs="Arial"/>
          <w:i/>
          <w:color w:val="000000"/>
          <w:sz w:val="18"/>
          <w:szCs w:val="18"/>
          <w:shd w:val="clear" w:color="auto" w:fill="FFFFFF"/>
        </w:rPr>
        <w:t xml:space="preserve"> 4. A prova exclusivamente testemunhal não basta à comprovação da atividade rurícola, para efeito de obtenção do benefício previdenciário. (Súmula 149 do STJ) 5. </w:t>
      </w:r>
      <w:r w:rsidRPr="00567309">
        <w:rPr>
          <w:rFonts w:ascii="Arial" w:hAnsi="Arial" w:cs="Arial"/>
          <w:b/>
          <w:i/>
          <w:color w:val="000000"/>
          <w:sz w:val="18"/>
          <w:szCs w:val="18"/>
          <w:shd w:val="clear" w:color="auto" w:fill="FFFFFF"/>
        </w:rPr>
        <w:t>Diante da dificuldade do rurícola na obtenção de prova escrita do exercício de sua profissão, o rol de documentos hábeis à comprovação do exercício de atividade rural inscrito no art. 106, parágrafo único, da Lei 8.213/1991 é meramente exemplificativo, e não taxativo, sendo admissíveis outros documentos além dos previstos no mencionado dispositivo, inclusive que estejam em nome de membros do grupo familiar ou ex-patrão</w:t>
      </w:r>
      <w:r w:rsidRPr="00567309">
        <w:rPr>
          <w:rFonts w:ascii="Arial" w:hAnsi="Arial" w:cs="Arial"/>
          <w:i/>
          <w:color w:val="000000"/>
          <w:sz w:val="18"/>
          <w:szCs w:val="18"/>
          <w:shd w:val="clear" w:color="auto" w:fill="FFFFFF"/>
        </w:rPr>
        <w:t xml:space="preserve">. 6. "Conquanto não se exija a contemporaneidade da prova material durante todo o período que se pretende comprovar o exercício de atividade rural, deve haver ao menos um início razoável de prova material contemporânea aos fatos alegados, admitida a complementação da prova mediante depoimentos de testemunhas." (AgRg no REsp 1148294/SP, Rel. Ministro ROGERIO SCHIETTI CRUZ, SEXTA TURMA, julgado em 07/10/2014) </w:t>
      </w:r>
      <w:proofErr w:type="gramStart"/>
      <w:r w:rsidRPr="00567309">
        <w:rPr>
          <w:rFonts w:ascii="Arial" w:hAnsi="Arial" w:cs="Arial"/>
          <w:i/>
          <w:color w:val="000000"/>
          <w:sz w:val="18"/>
          <w:szCs w:val="18"/>
          <w:shd w:val="clear" w:color="auto" w:fill="FFFFFF"/>
        </w:rPr>
        <w:t>(...) .A</w:t>
      </w:r>
      <w:proofErr w:type="gramEnd"/>
      <w:r w:rsidRPr="00567309">
        <w:rPr>
          <w:rFonts w:ascii="Arial" w:hAnsi="Arial" w:cs="Arial"/>
          <w:i/>
          <w:color w:val="000000"/>
          <w:sz w:val="18"/>
          <w:szCs w:val="18"/>
          <w:shd w:val="clear" w:color="auto" w:fill="FFFFFF"/>
        </w:rPr>
        <w:t xml:space="preserve"> Câmara, à unanimidade, deu parcial provimento à apelação do INSS e à remessa oficial.</w:t>
      </w:r>
      <w:r w:rsidRPr="00567309">
        <w:rPr>
          <w:rFonts w:ascii="Arial" w:hAnsi="Arial" w:cs="Arial"/>
          <w:i/>
          <w:color w:val="000000"/>
          <w:sz w:val="18"/>
          <w:szCs w:val="18"/>
        </w:rPr>
        <w:br/>
      </w:r>
      <w:r w:rsidRPr="00567309">
        <w:rPr>
          <w:rFonts w:ascii="Arial" w:hAnsi="Arial" w:cs="Arial"/>
          <w:i/>
          <w:color w:val="000000"/>
          <w:sz w:val="18"/>
          <w:szCs w:val="18"/>
          <w:shd w:val="clear" w:color="auto" w:fill="FFFFFF"/>
        </w:rPr>
        <w:t xml:space="preserve">(ACORDAO 00154245320094019199, JUIZ FEDERAL ALEXANDRE FERREIRA </w:t>
      </w:r>
      <w:r w:rsidRPr="00567309">
        <w:rPr>
          <w:rFonts w:ascii="Arial" w:hAnsi="Arial" w:cs="Arial"/>
          <w:i/>
          <w:color w:val="000000"/>
          <w:sz w:val="18"/>
          <w:szCs w:val="18"/>
          <w:shd w:val="clear" w:color="auto" w:fill="FFFFFF"/>
        </w:rPr>
        <w:lastRenderedPageBreak/>
        <w:t>INFANTE VIEIRA, TRF1 - 2ª CÂMARA REGIONAL PREVIDENCIÁRIA DE MINAS GERAIS, e-DJF1 DATA:04/10/2017 PAGINA:.)</w:t>
      </w:r>
    </w:p>
    <w:p w:rsidR="003E63D2" w:rsidRPr="00567309" w:rsidRDefault="003E63D2" w:rsidP="003E63D2">
      <w:pPr>
        <w:spacing w:line="240" w:lineRule="auto"/>
        <w:ind w:left="2268"/>
        <w:jc w:val="both"/>
        <w:rPr>
          <w:rFonts w:ascii="Arial" w:hAnsi="Arial" w:cs="Arial"/>
          <w:color w:val="000000"/>
          <w:sz w:val="18"/>
          <w:szCs w:val="18"/>
          <w:shd w:val="clear" w:color="auto" w:fill="FFFFFF"/>
        </w:rPr>
      </w:pPr>
    </w:p>
    <w:p w:rsidR="003E63D2" w:rsidRPr="00567309" w:rsidRDefault="003E63D2" w:rsidP="003E63D2">
      <w:pPr>
        <w:spacing w:line="240" w:lineRule="auto"/>
        <w:ind w:left="2268"/>
        <w:jc w:val="both"/>
        <w:rPr>
          <w:rFonts w:ascii="Arial" w:hAnsi="Arial" w:cs="Arial"/>
          <w:color w:val="000000"/>
          <w:sz w:val="18"/>
          <w:szCs w:val="18"/>
          <w:shd w:val="clear" w:color="auto" w:fill="FFFFFF"/>
        </w:rPr>
      </w:pPr>
    </w:p>
    <w:p w:rsidR="003E63D2" w:rsidRPr="003E63D2" w:rsidRDefault="003E63D2" w:rsidP="003E63D2">
      <w:pPr>
        <w:spacing w:line="240" w:lineRule="auto"/>
        <w:ind w:left="2268"/>
        <w:jc w:val="both"/>
        <w:rPr>
          <w:rFonts w:ascii="Arial" w:hAnsi="Arial" w:cs="Arial"/>
          <w:i/>
          <w:color w:val="000000"/>
          <w:sz w:val="18"/>
          <w:szCs w:val="18"/>
          <w:shd w:val="clear" w:color="auto" w:fill="FFFFFF"/>
        </w:rPr>
      </w:pPr>
      <w:r w:rsidRPr="00567309">
        <w:rPr>
          <w:rFonts w:ascii="Arial" w:hAnsi="Arial" w:cs="Arial"/>
          <w:i/>
          <w:color w:val="000000"/>
          <w:sz w:val="18"/>
          <w:szCs w:val="18"/>
          <w:shd w:val="clear" w:color="auto" w:fill="FFFFFF"/>
        </w:rPr>
        <w:t xml:space="preserve">“PREVIDENCIÁRIO. APOSENTADORIA RURAL. COMPROVADA ATIVIDADE RURAL EM REGIME DE ECONOMIA FAMILIAR. INÍCIO DE PROVA MATERIAL CORROBORADO POR SEGURA PROVA TESTEMUNHAL. SENTENÇA REFORMADA PARA JULGAR PROCEDENTE O PEDIDO. (...)2. O reconhecimento do tempo de atividade rural depende de início de prova material, não sendo suficiente a prova exclusivamente testemunhal, nos termos do art. 55, § 3º da Lei nº 8.213/91 e dos verbetes sumulares 149 do STJ e 27 do TRF-1ª Região. </w:t>
      </w:r>
      <w:r w:rsidRPr="00567309">
        <w:rPr>
          <w:rFonts w:ascii="Arial" w:hAnsi="Arial" w:cs="Arial"/>
          <w:b/>
          <w:i/>
          <w:color w:val="000000"/>
          <w:sz w:val="18"/>
          <w:szCs w:val="18"/>
          <w:shd w:val="clear" w:color="auto" w:fill="FFFFFF"/>
        </w:rPr>
        <w:t xml:space="preserve">Não se exige, contudo, que o início de prova material corresponda a todo o período equivalente à carência do benefício (Súmula nº 14 da TNU). </w:t>
      </w:r>
      <w:r w:rsidRPr="00502D9A">
        <w:rPr>
          <w:rFonts w:ascii="Arial" w:hAnsi="Arial" w:cs="Arial"/>
          <w:b/>
          <w:i/>
          <w:color w:val="000000"/>
          <w:sz w:val="18"/>
          <w:szCs w:val="18"/>
          <w:u w:val="single"/>
          <w:shd w:val="clear" w:color="auto" w:fill="FFFFFF"/>
        </w:rPr>
        <w:t>A dilação temporal da eficácia probatória da prova documental fica ressalvada para a prova testemunhal, que pode estendê-la para além ou para aquém do marco temporal contido no documento.</w:t>
      </w:r>
      <w:r w:rsidRPr="00567309">
        <w:rPr>
          <w:rFonts w:ascii="Arial" w:hAnsi="Arial" w:cs="Arial"/>
          <w:i/>
          <w:color w:val="000000"/>
          <w:sz w:val="18"/>
          <w:szCs w:val="18"/>
          <w:shd w:val="clear" w:color="auto" w:fill="FFFFFF"/>
        </w:rPr>
        <w:t xml:space="preserve"> 3. Não se deve aplicar rigor excessivo na comprovação da atividade rurícola, para fins de aposentadoria, sob pena de se tornar praticamente impossível a concessão do benefício, em face das peculiaridades que envolvem o trabalhador no meio rural. As pessoas humildes não mantêm o hábito de registrar documentalmente suas vidas. Além disso, as circunstâncias ou condições do homem do campo, no Brasil, são totalmente incompatíveis com qualquer escrituração. (...). 7. Deferida tutela de urgência da obrigação de fazer para implantação imediata do benefício. 8. Apelação provida.A Câmara, por unanimidade, deu provimento à </w:t>
      </w:r>
      <w:proofErr w:type="gramStart"/>
      <w:r w:rsidRPr="00567309">
        <w:rPr>
          <w:rFonts w:ascii="Arial" w:hAnsi="Arial" w:cs="Arial"/>
          <w:i/>
          <w:color w:val="000000"/>
          <w:sz w:val="18"/>
          <w:szCs w:val="18"/>
          <w:shd w:val="clear" w:color="auto" w:fill="FFFFFF"/>
        </w:rPr>
        <w:t>apelação.</w:t>
      </w:r>
      <w:r w:rsidRPr="00567309">
        <w:rPr>
          <w:rFonts w:ascii="Arial" w:hAnsi="Arial" w:cs="Arial"/>
          <w:i/>
          <w:color w:val="000000"/>
          <w:sz w:val="18"/>
          <w:szCs w:val="18"/>
        </w:rPr>
        <w:br/>
      </w:r>
      <w:r w:rsidRPr="00567309">
        <w:rPr>
          <w:rFonts w:ascii="Arial" w:hAnsi="Arial" w:cs="Arial"/>
          <w:i/>
          <w:color w:val="000000"/>
          <w:sz w:val="18"/>
          <w:szCs w:val="18"/>
          <w:shd w:val="clear" w:color="auto" w:fill="FFFFFF"/>
        </w:rPr>
        <w:t>(</w:t>
      </w:r>
      <w:proofErr w:type="gramEnd"/>
      <w:r w:rsidRPr="00567309">
        <w:rPr>
          <w:rFonts w:ascii="Arial" w:hAnsi="Arial" w:cs="Arial"/>
          <w:i/>
          <w:color w:val="000000"/>
          <w:sz w:val="18"/>
          <w:szCs w:val="18"/>
          <w:shd w:val="clear" w:color="auto" w:fill="FFFFFF"/>
        </w:rPr>
        <w:t>ACORDAO 00196970720114019199, JUIZ FEDERAL</w:t>
      </w:r>
      <w:r w:rsidRPr="003E63D2">
        <w:rPr>
          <w:rFonts w:ascii="Arial" w:hAnsi="Arial" w:cs="Arial"/>
          <w:i/>
          <w:color w:val="000000"/>
          <w:sz w:val="18"/>
          <w:szCs w:val="18"/>
          <w:shd w:val="clear" w:color="auto" w:fill="FFFFFF"/>
        </w:rPr>
        <w:t xml:space="preserve"> MURILO FERNANDES DE ALMEIDA, TRF1 - 1ª CÂMARA REGIONAL PREVIDENCIÁRIA DE MINAS GERAIS, e-DJF1 DATA:19/06/2017 PAGINA:.)</w:t>
      </w:r>
    </w:p>
    <w:p w:rsidR="003E63D2" w:rsidRPr="003E63D2" w:rsidRDefault="003E63D2" w:rsidP="003E63D2">
      <w:pPr>
        <w:spacing w:line="240" w:lineRule="auto"/>
        <w:ind w:left="2268"/>
        <w:jc w:val="both"/>
        <w:rPr>
          <w:rFonts w:ascii="Arial" w:hAnsi="Arial" w:cs="Arial"/>
          <w:color w:val="000000"/>
          <w:sz w:val="18"/>
          <w:szCs w:val="18"/>
          <w:shd w:val="clear" w:color="auto" w:fill="FFFFFF"/>
        </w:rPr>
      </w:pPr>
    </w:p>
    <w:p w:rsidR="003E63D2" w:rsidRPr="003E63D2" w:rsidRDefault="003E63D2" w:rsidP="003E63D2">
      <w:pPr>
        <w:spacing w:line="240" w:lineRule="auto"/>
        <w:ind w:left="2268"/>
        <w:jc w:val="both"/>
        <w:rPr>
          <w:rFonts w:ascii="Arial" w:hAnsi="Arial" w:cs="Arial"/>
          <w:color w:val="000000"/>
          <w:sz w:val="18"/>
          <w:szCs w:val="18"/>
          <w:shd w:val="clear" w:color="auto" w:fill="FFFFFF"/>
        </w:rPr>
      </w:pPr>
    </w:p>
    <w:p w:rsidR="003E63D2" w:rsidRDefault="003E63D2" w:rsidP="003E63D2">
      <w:pPr>
        <w:spacing w:line="240" w:lineRule="auto"/>
        <w:ind w:left="2268"/>
        <w:jc w:val="both"/>
        <w:rPr>
          <w:rFonts w:ascii="Arial" w:hAnsi="Arial" w:cs="Arial"/>
          <w:i/>
          <w:color w:val="000000"/>
          <w:sz w:val="18"/>
          <w:szCs w:val="18"/>
          <w:shd w:val="clear" w:color="auto" w:fill="FFFFFF"/>
        </w:rPr>
      </w:pPr>
      <w:r w:rsidRPr="003E63D2">
        <w:rPr>
          <w:rFonts w:ascii="Arial" w:hAnsi="Arial" w:cs="Arial"/>
          <w:i/>
          <w:color w:val="000000"/>
          <w:sz w:val="18"/>
          <w:szCs w:val="18"/>
          <w:shd w:val="clear" w:color="auto" w:fill="FFFFFF"/>
        </w:rPr>
        <w:t>PREVIDENCIÁRIO. APOSENTADORIA POR TEMPO DE CONTRIBUIÇÃO. CÔMPUTO DE TEMPO DE ATIVIDADE RURAL. INÍCIO DE PROVA MATERIAL CORROBORADA POR PROVA TESTEMUNHAL. LIMITAÇÃO DO PERÍODO AVERBADO. PARCIAL PRO</w:t>
      </w:r>
      <w:r>
        <w:rPr>
          <w:rFonts w:ascii="Arial" w:hAnsi="Arial" w:cs="Arial"/>
          <w:i/>
          <w:color w:val="000000"/>
          <w:sz w:val="18"/>
          <w:szCs w:val="18"/>
          <w:shd w:val="clear" w:color="auto" w:fill="FFFFFF"/>
        </w:rPr>
        <w:t xml:space="preserve">VIMENTO DA APELAÇÃO DO INSS. (...) </w:t>
      </w:r>
      <w:r w:rsidRPr="003E63D2">
        <w:rPr>
          <w:rFonts w:ascii="Arial" w:hAnsi="Arial" w:cs="Arial"/>
          <w:i/>
          <w:color w:val="000000"/>
          <w:sz w:val="18"/>
          <w:szCs w:val="18"/>
          <w:shd w:val="clear" w:color="auto" w:fill="FFFFFF"/>
        </w:rPr>
        <w:t xml:space="preserve">4. Para fins de comprovação do tempo de labor rural, o início de prova material deve ser contemporâneo à época dos fatos a provar, </w:t>
      </w:r>
      <w:r w:rsidRPr="003E63D2">
        <w:rPr>
          <w:rFonts w:ascii="Arial" w:hAnsi="Arial" w:cs="Arial"/>
          <w:b/>
          <w:i/>
          <w:color w:val="000000"/>
          <w:sz w:val="18"/>
          <w:szCs w:val="18"/>
          <w:u w:val="single"/>
          <w:shd w:val="clear" w:color="auto" w:fill="FFFFFF"/>
        </w:rPr>
        <w:t>porém não se exige que corresponda a todo o período equivalente à carência do benefício</w:t>
      </w:r>
      <w:r w:rsidRPr="003E63D2">
        <w:rPr>
          <w:rFonts w:ascii="Arial" w:hAnsi="Arial" w:cs="Arial"/>
          <w:i/>
          <w:color w:val="000000"/>
          <w:sz w:val="18"/>
          <w:szCs w:val="18"/>
          <w:shd w:val="clear" w:color="auto" w:fill="FFFFFF"/>
        </w:rPr>
        <w:t xml:space="preserve"> (Súmulas 14 e 34/TNU). 5. </w:t>
      </w:r>
      <w:r w:rsidRPr="003E63D2">
        <w:rPr>
          <w:rFonts w:ascii="Arial" w:hAnsi="Arial" w:cs="Arial"/>
          <w:b/>
          <w:i/>
          <w:color w:val="000000"/>
          <w:sz w:val="18"/>
          <w:szCs w:val="18"/>
          <w:shd w:val="clear" w:color="auto" w:fill="FFFFFF"/>
        </w:rPr>
        <w:t>O início de prova material consiste em cópia do certificado de alistamento militar em 1968, que informa a profissão de lavrador (f. 19), e declaração de exercício de atividade rural emitida em 2010 pelo sindicato de Maria da Fé - MG (f. 39/41).</w:t>
      </w:r>
      <w:r w:rsidRPr="003E63D2">
        <w:rPr>
          <w:rFonts w:ascii="Arial" w:hAnsi="Arial" w:cs="Arial"/>
          <w:i/>
          <w:color w:val="000000"/>
          <w:sz w:val="18"/>
          <w:szCs w:val="18"/>
          <w:shd w:val="clear" w:color="auto" w:fill="FFFFFF"/>
        </w:rPr>
        <w:t xml:space="preserve"> 6. As testemunhas Sebastião de Lélis Corrêa e João Mira, ouvidas em audiência dia 11/04/2012 (f. 117/119), afirmaram conhecer o autor desde criança e que ele trabalhava com seu pai na roça, plantando arroz, feijão e milho, desde os 10 anos de idade. Informam que o autor se mudou para Itajubá - MG em 1969, passando a trabalhar com o irmão na cidade. 7</w:t>
      </w:r>
      <w:r w:rsidRPr="003E63D2">
        <w:rPr>
          <w:rFonts w:ascii="Arial" w:hAnsi="Arial" w:cs="Arial"/>
          <w:b/>
          <w:i/>
          <w:color w:val="000000"/>
          <w:sz w:val="18"/>
          <w:szCs w:val="18"/>
          <w:shd w:val="clear" w:color="auto" w:fill="FFFFFF"/>
        </w:rPr>
        <w:t>. O Superior Tribunal de Justiça - STJ, nas causas de trabalhadores rurais, tem adotado critérios interpretativos favorecedores de uma jurisdição socialmente justa, admitindo mais amplamente documentação comprobatória da atividade desenvolvida</w:t>
      </w:r>
      <w:r w:rsidRPr="003E63D2">
        <w:rPr>
          <w:rFonts w:ascii="Arial" w:hAnsi="Arial" w:cs="Arial"/>
          <w:i/>
          <w:color w:val="000000"/>
          <w:sz w:val="18"/>
          <w:szCs w:val="18"/>
          <w:shd w:val="clear" w:color="auto" w:fill="FFFFFF"/>
        </w:rPr>
        <w:t xml:space="preserve">. As </w:t>
      </w:r>
      <w:r w:rsidRPr="003E63D2">
        <w:rPr>
          <w:rFonts w:ascii="Arial" w:hAnsi="Arial" w:cs="Arial"/>
          <w:b/>
          <w:i/>
          <w:color w:val="000000"/>
          <w:sz w:val="18"/>
          <w:szCs w:val="18"/>
          <w:u w:val="single"/>
          <w:shd w:val="clear" w:color="auto" w:fill="FFFFFF"/>
        </w:rPr>
        <w:t>certidões de nascimento, casamento e óbito, bem como certidão da Justiça Eleitoral, carteira de associação ao Sindicato dos Trabalhadores Rurais e contratos de parceria agrícola são aceitos como início da prova material, nos casos em que a profissão rural estiver expressamente consignada.</w:t>
      </w:r>
      <w:r w:rsidRPr="003E63D2">
        <w:rPr>
          <w:rFonts w:ascii="Arial" w:hAnsi="Arial" w:cs="Arial"/>
          <w:i/>
          <w:color w:val="000000"/>
          <w:sz w:val="18"/>
          <w:szCs w:val="18"/>
          <w:shd w:val="clear" w:color="auto" w:fill="FFFFFF"/>
        </w:rPr>
        <w:t xml:space="preserve"> Admite a condição profissional de trabalhador rural de um dos cônjuges, constante de assentamento em Registro Civil, seja extensível ao outro, com vistas à comprovação de atividade rurícola. Orienta ainda no sentido de que, </w:t>
      </w:r>
      <w:r w:rsidRPr="003E63D2">
        <w:rPr>
          <w:rFonts w:ascii="Arial" w:hAnsi="Arial" w:cs="Arial"/>
          <w:b/>
          <w:i/>
          <w:color w:val="000000"/>
          <w:sz w:val="18"/>
          <w:szCs w:val="18"/>
          <w:u w:val="single"/>
          <w:shd w:val="clear" w:color="auto" w:fill="FFFFFF"/>
        </w:rPr>
        <w:t>para a concessão de aposentadoria por idade rural, não se exige que a prova material do labor agrícola se refira a todo o período de carência, desde que haja prova testemunhal apta a ampliar a eficácia probatória dos documentos</w:t>
      </w:r>
      <w:r w:rsidRPr="003E63D2">
        <w:rPr>
          <w:rFonts w:ascii="Arial" w:hAnsi="Arial" w:cs="Arial"/>
          <w:i/>
          <w:color w:val="000000"/>
          <w:sz w:val="18"/>
          <w:szCs w:val="18"/>
          <w:shd w:val="clear" w:color="auto" w:fill="FFFFFF"/>
        </w:rPr>
        <w:t xml:space="preserve"> (AR 4.094/SP, Rel. Ministra Maria Thereza de Assis Moura, Terceira Seção, julgado em 26/09/2012, DJe 08/10/2012</w:t>
      </w:r>
      <w:proofErr w:type="gramStart"/>
      <w:r w:rsidRPr="003E63D2">
        <w:rPr>
          <w:rFonts w:ascii="Arial" w:hAnsi="Arial" w:cs="Arial"/>
          <w:i/>
          <w:color w:val="000000"/>
          <w:sz w:val="18"/>
          <w:szCs w:val="18"/>
          <w:shd w:val="clear" w:color="auto" w:fill="FFFFFF"/>
        </w:rPr>
        <w:t>).(</w:t>
      </w:r>
      <w:proofErr w:type="gramEnd"/>
      <w:r w:rsidRPr="003E63D2">
        <w:rPr>
          <w:rFonts w:ascii="Arial" w:hAnsi="Arial" w:cs="Arial"/>
          <w:i/>
          <w:color w:val="000000"/>
          <w:sz w:val="18"/>
          <w:szCs w:val="18"/>
          <w:shd w:val="clear" w:color="auto" w:fill="FFFFFF"/>
        </w:rPr>
        <w:t xml:space="preserve">EREsp 1171565/SP, Rel. Ministro NEFI CORDEIRO, TERCEIRA SEÇÃO, julgado em 25/02/2015, DJe 05/03/2015) 8. Há início de prova material, corroborada por testemunhas, permitindo o reconhecimento do trabalho rural de 22/08/1962, data em que o autor completou 12 anos (f. 18), até 31/12/1969, ano em que o pai do autor faleceu e, segundo os depoimentos colhidos em audiência, o autor deixou o campo e foi trabalhar na cidade, onde o irmão era proprietário de um açougue. 9. A entrevista rural junto ao INSS foi favorável ao autor, confirmando o exercício de atividade rural, em regime de economia família, no período em questão (f. 50/58), porém a Autarquia homologou apenas o ano </w:t>
      </w:r>
      <w:r w:rsidRPr="003E63D2">
        <w:rPr>
          <w:rFonts w:ascii="Arial" w:hAnsi="Arial" w:cs="Arial"/>
          <w:i/>
          <w:color w:val="000000"/>
          <w:sz w:val="18"/>
          <w:szCs w:val="18"/>
          <w:shd w:val="clear" w:color="auto" w:fill="FFFFFF"/>
        </w:rPr>
        <w:lastRenderedPageBreak/>
        <w:t xml:space="preserve">de 1968 (f. 58), em virtude do início de prova material apresentado (certidão de alistamento militar em 1968). </w:t>
      </w:r>
      <w:r w:rsidRPr="003E63D2">
        <w:rPr>
          <w:rFonts w:ascii="Arial" w:hAnsi="Arial" w:cs="Arial"/>
          <w:b/>
          <w:i/>
          <w:color w:val="000000"/>
          <w:sz w:val="18"/>
          <w:szCs w:val="18"/>
          <w:shd w:val="clear" w:color="auto" w:fill="FFFFFF"/>
        </w:rPr>
        <w:t>A prova testemunhal produzida em juízo permite a ampliação desse período, retroagindo aos 12 anos de idade do autor, não se exigindo a apresentação de um documento para cada ano de atividade rura</w:t>
      </w:r>
      <w:r w:rsidRPr="003E63D2">
        <w:rPr>
          <w:rFonts w:ascii="Arial" w:hAnsi="Arial" w:cs="Arial"/>
          <w:i/>
          <w:color w:val="000000"/>
          <w:sz w:val="18"/>
          <w:szCs w:val="18"/>
          <w:shd w:val="clear" w:color="auto" w:fill="FFFFFF"/>
        </w:rPr>
        <w:t xml:space="preserve">l. 10. O Superior Tribunal de Justiça - STJ aplica a idade mínima de 12 anos para a averbação de atividade rural, uma vez que a participação no trabalho rural antes deste limite etário seria secundária ante a ausência de vigor físico para exercer a atividade de maneira plena (STJ, REsp 529386 / SC, Rel. Min. José Arnaldo da Fonseca, 5ª Turma, Unânime, DJ 22/03/2004, p. 349). 11. Mantida a sentença que reconheceu o direito do autor à aposentadoria proporcional por tempo de contribuição, a partir do requerimento apresentado em 13/09/2010 (f. 64), porém agora com 33 anos e 16 dias, mediante o cômputo do trabalho rural acima especificado, já excluídos os quatro meses de trabalho no ano de 1970 que deixaram de ser reconhecidos. 12. Parcial provimento da apelação do INSS para limitar a averbação do tempo rural do autor ao período de 22/08/1962 a 31/12/1969, mantendo a sentença em todos os demais termos.A Câmara, à unanimidade, DEU PARCIAL PROVIMENTO À APELAÇÃO DO </w:t>
      </w:r>
      <w:proofErr w:type="gramStart"/>
      <w:r w:rsidRPr="003E63D2">
        <w:rPr>
          <w:rFonts w:ascii="Arial" w:hAnsi="Arial" w:cs="Arial"/>
          <w:i/>
          <w:color w:val="000000"/>
          <w:sz w:val="18"/>
          <w:szCs w:val="18"/>
          <w:shd w:val="clear" w:color="auto" w:fill="FFFFFF"/>
        </w:rPr>
        <w:t>INSS.(</w:t>
      </w:r>
      <w:proofErr w:type="gramEnd"/>
      <w:r w:rsidRPr="003E63D2">
        <w:rPr>
          <w:rFonts w:ascii="Arial" w:hAnsi="Arial" w:cs="Arial"/>
          <w:i/>
          <w:color w:val="000000"/>
          <w:sz w:val="18"/>
          <w:szCs w:val="18"/>
          <w:shd w:val="clear" w:color="auto" w:fill="FFFFFF"/>
        </w:rPr>
        <w:t>ACORDAO 00566170920134019199, JUIZ FEDERAL JOSÉ ALEXANDRE FRANCO, TRF1 - 1ª CÂMARA REGIONAL PREVIDENCIÁRIA DE JUIZ DE FORA, e-DJF1 DATA:31/10/2017 PAGINA:.)</w:t>
      </w:r>
    </w:p>
    <w:p w:rsidR="005C05C8" w:rsidRDefault="005C05C8" w:rsidP="003E63D2">
      <w:pPr>
        <w:spacing w:line="240" w:lineRule="auto"/>
        <w:ind w:left="2268"/>
        <w:jc w:val="both"/>
        <w:rPr>
          <w:rFonts w:ascii="Arial" w:hAnsi="Arial" w:cs="Arial"/>
          <w:i/>
          <w:color w:val="000000"/>
          <w:sz w:val="18"/>
          <w:szCs w:val="18"/>
          <w:shd w:val="clear" w:color="auto" w:fill="FFFFFF"/>
        </w:rPr>
      </w:pPr>
    </w:p>
    <w:p w:rsidR="005C05C8" w:rsidRPr="00F94889" w:rsidRDefault="005C05C8" w:rsidP="00F94889">
      <w:pPr>
        <w:spacing w:line="240" w:lineRule="auto"/>
        <w:ind w:left="2268"/>
        <w:jc w:val="both"/>
        <w:rPr>
          <w:rFonts w:ascii="Arial" w:hAnsi="Arial" w:cs="Arial"/>
          <w:i/>
          <w:color w:val="000000" w:themeColor="text1"/>
          <w:sz w:val="20"/>
          <w:szCs w:val="20"/>
        </w:rPr>
      </w:pPr>
    </w:p>
    <w:p w:rsidR="005C05C8" w:rsidRPr="00F94889" w:rsidRDefault="005C05C8" w:rsidP="00F94889">
      <w:pPr>
        <w:pStyle w:val="NormalWeb"/>
        <w:shd w:val="clear" w:color="auto" w:fill="FFFFFF"/>
        <w:spacing w:before="0" w:beforeAutospacing="0" w:after="0" w:afterAutospacing="0" w:line="240" w:lineRule="auto"/>
        <w:ind w:left="2268"/>
        <w:jc w:val="both"/>
        <w:rPr>
          <w:rFonts w:ascii="Arial" w:hAnsi="Arial" w:cs="Arial"/>
          <w:i/>
          <w:color w:val="000000" w:themeColor="text1"/>
          <w:spacing w:val="2"/>
          <w:sz w:val="20"/>
          <w:szCs w:val="20"/>
        </w:rPr>
      </w:pPr>
      <w:r w:rsidRPr="00F94889">
        <w:rPr>
          <w:rFonts w:ascii="Arial" w:hAnsi="Arial" w:cs="Arial"/>
          <w:i/>
          <w:color w:val="000000" w:themeColor="text1"/>
          <w:spacing w:val="2"/>
          <w:sz w:val="20"/>
          <w:szCs w:val="20"/>
        </w:rPr>
        <w:t>VOTO / APOSENTADORIA POR IDADE. TRABALHADOR RURAL. EXTENSÃO PROSPECTIVA E RETROATIVADA EFICÁCIA PROBATÓRIA DO INÍCIO DE PROVA MATERIAL. 1. O acórdão recorrido está satisfatoriamente fundamentado. Rejeitada</w:t>
      </w:r>
      <w:r w:rsidR="00465A53">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a arguição de nulidade por deficiência de motivação. 2. O acórdão recorrido rejeitou valor de início de prova material</w:t>
      </w:r>
      <w:r w:rsidR="00465A53">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de atividade rural a todos os documentos com base em três motivos: a</w:t>
      </w:r>
      <w:r w:rsidR="00465A53">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documentação situada fora do lapso correspondente à carência do benefício (tal como certidão de casamento dos anos 70) não vale como início de prova</w:t>
      </w:r>
      <w:r w:rsidR="00465A53">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material; os documentos situados em um hiato específico e curto não valem</w:t>
      </w:r>
      <w:r w:rsidR="00465A53">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como início de prova material; documentos em nome do cônjuge ou de outro</w:t>
      </w:r>
      <w:r w:rsidR="00465A53">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familiar têm seu valor probatório comprometido quando a pessoa em nome da</w:t>
      </w:r>
      <w:r w:rsidR="00465A53">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qual foram expedidos tenha passado a exercer atividade urbana. 3. Não foi demonstrada divergência jurisprudencial em relação ao</w:t>
      </w:r>
      <w:r w:rsidR="00465A53">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terceiro fundamento do incidente. Prejudicada a análise da questão quanto</w:t>
      </w:r>
      <w:r w:rsidR="00465A53">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aos documentos antigos em nome do membro da família que tenha passado a</w:t>
      </w:r>
      <w:r w:rsidR="00465A53">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 xml:space="preserve">exercer atividade rural posteriormente. 4. Os dois primeiros fundamentos do acórdão recorrido conflitam coma jurisprudência dominante da TNU. </w:t>
      </w:r>
      <w:r w:rsidRPr="000142F1">
        <w:rPr>
          <w:rFonts w:ascii="Arial" w:hAnsi="Arial" w:cs="Arial"/>
          <w:b/>
          <w:i/>
          <w:color w:val="000000" w:themeColor="text1"/>
          <w:spacing w:val="2"/>
          <w:sz w:val="20"/>
          <w:szCs w:val="20"/>
          <w:u w:val="single"/>
        </w:rPr>
        <w:t>Divergência jurisprudencial demonstrada. 5. Documentos antigos, tais como certidão de casamento dos anos70, ou documentos recentes situados em um hiato específico e curto nã</w:t>
      </w:r>
      <w:r w:rsidR="000142F1" w:rsidRPr="000142F1">
        <w:rPr>
          <w:rFonts w:ascii="Arial" w:hAnsi="Arial" w:cs="Arial"/>
          <w:b/>
          <w:i/>
          <w:color w:val="000000" w:themeColor="text1"/>
          <w:spacing w:val="2"/>
          <w:sz w:val="20"/>
          <w:szCs w:val="20"/>
          <w:u w:val="single"/>
        </w:rPr>
        <w:t xml:space="preserve">o </w:t>
      </w:r>
      <w:r w:rsidRPr="000142F1">
        <w:rPr>
          <w:rFonts w:ascii="Arial" w:hAnsi="Arial" w:cs="Arial"/>
          <w:b/>
          <w:i/>
          <w:color w:val="000000" w:themeColor="text1"/>
          <w:spacing w:val="2"/>
          <w:sz w:val="20"/>
          <w:szCs w:val="20"/>
          <w:u w:val="single"/>
        </w:rPr>
        <w:t>opodem ser absolutamente descartados como início de prova material. É,</w:t>
      </w:r>
      <w:r w:rsidR="000142F1" w:rsidRPr="000142F1">
        <w:rPr>
          <w:rFonts w:ascii="Arial" w:hAnsi="Arial" w:cs="Arial"/>
          <w:b/>
          <w:i/>
          <w:color w:val="000000" w:themeColor="text1"/>
          <w:spacing w:val="2"/>
          <w:sz w:val="20"/>
          <w:szCs w:val="20"/>
          <w:u w:val="single"/>
        </w:rPr>
        <w:t xml:space="preserve"> </w:t>
      </w:r>
      <w:r w:rsidRPr="000142F1">
        <w:rPr>
          <w:rFonts w:ascii="Arial" w:hAnsi="Arial" w:cs="Arial"/>
          <w:b/>
          <w:i/>
          <w:color w:val="000000" w:themeColor="text1"/>
          <w:spacing w:val="2"/>
          <w:sz w:val="20"/>
          <w:szCs w:val="20"/>
          <w:u w:val="single"/>
        </w:rPr>
        <w:t>em tese, possível que a eficácia do início de prova material seja</w:t>
      </w:r>
      <w:r w:rsidR="000142F1" w:rsidRPr="000142F1">
        <w:rPr>
          <w:rFonts w:ascii="Arial" w:hAnsi="Arial" w:cs="Arial"/>
          <w:b/>
          <w:i/>
          <w:color w:val="000000" w:themeColor="text1"/>
          <w:spacing w:val="2"/>
          <w:sz w:val="20"/>
          <w:szCs w:val="20"/>
          <w:u w:val="single"/>
        </w:rPr>
        <w:t xml:space="preserve"> </w:t>
      </w:r>
      <w:r w:rsidRPr="000142F1">
        <w:rPr>
          <w:rFonts w:ascii="Arial" w:hAnsi="Arial" w:cs="Arial"/>
          <w:b/>
          <w:i/>
          <w:color w:val="000000" w:themeColor="text1"/>
          <w:spacing w:val="2"/>
          <w:sz w:val="20"/>
          <w:szCs w:val="20"/>
          <w:u w:val="single"/>
        </w:rPr>
        <w:t>estendida prospectivamente (para o futuro) ou retroativamente (para o</w:t>
      </w:r>
      <w:r w:rsidR="000142F1" w:rsidRPr="000142F1">
        <w:rPr>
          <w:rFonts w:ascii="Arial" w:hAnsi="Arial" w:cs="Arial"/>
          <w:b/>
          <w:i/>
          <w:color w:val="000000" w:themeColor="text1"/>
          <w:spacing w:val="2"/>
          <w:sz w:val="20"/>
          <w:szCs w:val="20"/>
          <w:u w:val="single"/>
        </w:rPr>
        <w:t xml:space="preserve"> </w:t>
      </w:r>
      <w:r w:rsidRPr="000142F1">
        <w:rPr>
          <w:rFonts w:ascii="Arial" w:hAnsi="Arial" w:cs="Arial"/>
          <w:b/>
          <w:i/>
          <w:color w:val="000000" w:themeColor="text1"/>
          <w:spacing w:val="2"/>
          <w:sz w:val="20"/>
          <w:szCs w:val="20"/>
          <w:u w:val="single"/>
        </w:rPr>
        <w:t>passado) se conjugada com prova testemunhal complementar convincente e</w:t>
      </w:r>
      <w:r w:rsidR="000142F1" w:rsidRPr="000142F1">
        <w:rPr>
          <w:rFonts w:ascii="Arial" w:hAnsi="Arial" w:cs="Arial"/>
          <w:b/>
          <w:i/>
          <w:color w:val="000000" w:themeColor="text1"/>
          <w:spacing w:val="2"/>
          <w:sz w:val="20"/>
          <w:szCs w:val="20"/>
          <w:u w:val="single"/>
        </w:rPr>
        <w:t xml:space="preserve"> </w:t>
      </w:r>
      <w:r w:rsidRPr="000142F1">
        <w:rPr>
          <w:rFonts w:ascii="Arial" w:hAnsi="Arial" w:cs="Arial"/>
          <w:b/>
          <w:i/>
          <w:color w:val="000000" w:themeColor="text1"/>
          <w:spacing w:val="2"/>
          <w:sz w:val="20"/>
          <w:szCs w:val="20"/>
          <w:u w:val="single"/>
        </w:rPr>
        <w:t>harmônica.</w:t>
      </w:r>
      <w:r w:rsidRPr="00F94889">
        <w:rPr>
          <w:rFonts w:ascii="Arial" w:hAnsi="Arial" w:cs="Arial"/>
          <w:i/>
          <w:color w:val="000000" w:themeColor="text1"/>
          <w:spacing w:val="2"/>
          <w:sz w:val="20"/>
          <w:szCs w:val="20"/>
        </w:rPr>
        <w:t xml:space="preserve"> Precedentes da TNU: PU 2008.39.00.702022-6, Rel. Juiz Federal</w:t>
      </w:r>
      <w:r w:rsidR="000142F1">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Rogerio Moreira Alves, DOU 09.12.2011; PU 2005.81.10.001065-3, Rel. Juíza</w:t>
      </w:r>
      <w:r w:rsidR="000142F1">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Federal Simone Lemos Fernandes, DOU 4.10.2011; PU 2007.72.95.0032452, Rel. Juiz</w:t>
      </w:r>
      <w:r w:rsidR="000142F1">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 xml:space="preserve">Federal José </w:t>
      </w:r>
      <w:r w:rsidR="000142F1" w:rsidRPr="00F94889">
        <w:rPr>
          <w:rFonts w:ascii="Arial" w:hAnsi="Arial" w:cs="Arial"/>
          <w:i/>
          <w:color w:val="000000" w:themeColor="text1"/>
          <w:spacing w:val="2"/>
          <w:sz w:val="20"/>
          <w:szCs w:val="20"/>
        </w:rPr>
        <w:t>Antônio</w:t>
      </w:r>
      <w:r w:rsidRPr="00F94889">
        <w:rPr>
          <w:rFonts w:ascii="Arial" w:hAnsi="Arial" w:cs="Arial"/>
          <w:i/>
          <w:color w:val="000000" w:themeColor="text1"/>
          <w:spacing w:val="2"/>
          <w:sz w:val="20"/>
          <w:szCs w:val="20"/>
        </w:rPr>
        <w:t xml:space="preserve"> Savaris, DOU 31.01.2011; PU 2005.70.95.00.5818-0,Rel. Juíza Federal Jacqueline Michels Bilhalva, DJ 04.09.2009; PU2006.72.59.000860-0, Rel. Juiz Federal Derivaldo de Figueiredo Bezerra Filho,</w:t>
      </w:r>
      <w:r w:rsidR="000142F1">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DJ 29/09/2009; PU 2007.72.95.00.3211-7, Rel. Juiz Federal Élio Wanderley</w:t>
      </w:r>
      <w:r w:rsidR="000142F1">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de Siqueira Filho, DJ 16.03.2009.6</w:t>
      </w:r>
      <w:r w:rsidRPr="00F76915">
        <w:rPr>
          <w:rFonts w:ascii="Arial" w:hAnsi="Arial" w:cs="Arial"/>
          <w:b/>
          <w:i/>
          <w:color w:val="000000" w:themeColor="text1"/>
          <w:spacing w:val="2"/>
          <w:sz w:val="20"/>
          <w:szCs w:val="20"/>
          <w:u w:val="single"/>
        </w:rPr>
        <w:t>. Incidente parcialmente provido para: (a) reafirmar a tese de quea eficácia do início de prova material pode ser estendida prospectiva ou</w:t>
      </w:r>
      <w:r w:rsidR="000142F1" w:rsidRPr="00F76915">
        <w:rPr>
          <w:rFonts w:ascii="Arial" w:hAnsi="Arial" w:cs="Arial"/>
          <w:b/>
          <w:i/>
          <w:color w:val="000000" w:themeColor="text1"/>
          <w:spacing w:val="2"/>
          <w:sz w:val="20"/>
          <w:szCs w:val="20"/>
          <w:u w:val="single"/>
        </w:rPr>
        <w:t xml:space="preserve"> </w:t>
      </w:r>
      <w:r w:rsidRPr="00F76915">
        <w:rPr>
          <w:rFonts w:ascii="Arial" w:hAnsi="Arial" w:cs="Arial"/>
          <w:b/>
          <w:i/>
          <w:color w:val="000000" w:themeColor="text1"/>
          <w:spacing w:val="2"/>
          <w:sz w:val="20"/>
          <w:szCs w:val="20"/>
          <w:u w:val="single"/>
        </w:rPr>
        <w:t>retroativamente se conjugada com prova testemunhal complementar convincente</w:t>
      </w:r>
      <w:r w:rsidR="000142F1" w:rsidRPr="00F76915">
        <w:rPr>
          <w:rFonts w:ascii="Arial" w:hAnsi="Arial" w:cs="Arial"/>
          <w:b/>
          <w:i/>
          <w:color w:val="000000" w:themeColor="text1"/>
          <w:spacing w:val="2"/>
          <w:sz w:val="20"/>
          <w:szCs w:val="20"/>
          <w:u w:val="single"/>
        </w:rPr>
        <w:t xml:space="preserve"> </w:t>
      </w:r>
      <w:r w:rsidRPr="00F76915">
        <w:rPr>
          <w:rFonts w:ascii="Arial" w:hAnsi="Arial" w:cs="Arial"/>
          <w:b/>
          <w:i/>
          <w:color w:val="000000" w:themeColor="text1"/>
          <w:spacing w:val="2"/>
          <w:sz w:val="20"/>
          <w:szCs w:val="20"/>
          <w:u w:val="single"/>
        </w:rPr>
        <w:t>e harmônica;</w:t>
      </w:r>
      <w:r w:rsidRPr="00F94889">
        <w:rPr>
          <w:rFonts w:ascii="Arial" w:hAnsi="Arial" w:cs="Arial"/>
          <w:i/>
          <w:color w:val="000000" w:themeColor="text1"/>
          <w:spacing w:val="2"/>
          <w:sz w:val="20"/>
          <w:szCs w:val="20"/>
        </w:rPr>
        <w:t xml:space="preserve"> (b) anular o acórdão recorrido na forma da Questão de Ordem</w:t>
      </w:r>
      <w:r w:rsidR="000142F1">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nº 6 da TNU; (c) determinar a devolução dos autos à Turma Recursal de</w:t>
      </w:r>
      <w:r w:rsidR="000142F1">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origem para que retome o julgamento do recurso inominado interposto em face</w:t>
      </w:r>
      <w:r w:rsidR="00F76915">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 xml:space="preserve">da sentença, reanalisando livremente </w:t>
      </w:r>
      <w:r w:rsidRPr="00F94889">
        <w:rPr>
          <w:rFonts w:ascii="Arial" w:hAnsi="Arial" w:cs="Arial"/>
          <w:i/>
          <w:color w:val="000000" w:themeColor="text1"/>
          <w:spacing w:val="2"/>
          <w:sz w:val="20"/>
          <w:szCs w:val="20"/>
        </w:rPr>
        <w:lastRenderedPageBreak/>
        <w:t>o conjunto probatório, desde que com</w:t>
      </w:r>
      <w:r w:rsidR="00F76915">
        <w:rPr>
          <w:rFonts w:ascii="Arial" w:hAnsi="Arial" w:cs="Arial"/>
          <w:i/>
          <w:color w:val="000000" w:themeColor="text1"/>
          <w:spacing w:val="2"/>
          <w:sz w:val="20"/>
          <w:szCs w:val="20"/>
        </w:rPr>
        <w:t xml:space="preserve"> </w:t>
      </w:r>
      <w:r w:rsidRPr="00F94889">
        <w:rPr>
          <w:rFonts w:ascii="Arial" w:hAnsi="Arial" w:cs="Arial"/>
          <w:i/>
          <w:color w:val="000000" w:themeColor="text1"/>
          <w:spacing w:val="2"/>
          <w:sz w:val="20"/>
          <w:szCs w:val="20"/>
        </w:rPr>
        <w:t>adequação à tese jurídica ora firmada.</w:t>
      </w:r>
    </w:p>
    <w:p w:rsidR="005C05C8" w:rsidRPr="00F94889" w:rsidRDefault="005C05C8" w:rsidP="00F94889">
      <w:pPr>
        <w:pStyle w:val="NormalWeb"/>
        <w:shd w:val="clear" w:color="auto" w:fill="FFFFFF"/>
        <w:spacing w:before="0" w:beforeAutospacing="0" w:after="0" w:afterAutospacing="0" w:line="240" w:lineRule="auto"/>
        <w:ind w:left="2268"/>
        <w:jc w:val="both"/>
        <w:rPr>
          <w:rFonts w:ascii="Arial" w:hAnsi="Arial" w:cs="Arial"/>
          <w:i/>
          <w:color w:val="000000" w:themeColor="text1"/>
          <w:spacing w:val="2"/>
          <w:sz w:val="20"/>
          <w:szCs w:val="20"/>
        </w:rPr>
      </w:pPr>
      <w:r w:rsidRPr="00F94889">
        <w:rPr>
          <w:rFonts w:ascii="Arial" w:hAnsi="Arial" w:cs="Arial"/>
          <w:i/>
          <w:color w:val="000000" w:themeColor="text1"/>
          <w:spacing w:val="2"/>
          <w:sz w:val="20"/>
          <w:szCs w:val="20"/>
        </w:rPr>
        <w:t>(TNU - PEDILEF: 5041268320094058103, Relator: JUIZ FEDERAL ROGÉRIO MOREIRA ALVES, Data de Julgamento: 29/02/2012, Data de Publicação: DOU 20/04/2012)</w:t>
      </w:r>
    </w:p>
    <w:p w:rsidR="00F76915" w:rsidRDefault="00F76915" w:rsidP="005C05C8">
      <w:pPr>
        <w:pStyle w:val="NormalWeb"/>
        <w:shd w:val="clear" w:color="auto" w:fill="FFFFFF"/>
        <w:spacing w:before="0" w:beforeAutospacing="0" w:after="0" w:afterAutospacing="0" w:line="240" w:lineRule="auto"/>
        <w:ind w:left="2268"/>
        <w:jc w:val="both"/>
        <w:rPr>
          <w:rFonts w:ascii="Arial" w:hAnsi="Arial" w:cs="Arial"/>
          <w:i/>
          <w:spacing w:val="2"/>
          <w:sz w:val="20"/>
          <w:szCs w:val="20"/>
        </w:rPr>
      </w:pPr>
    </w:p>
    <w:p w:rsidR="00F76915" w:rsidRDefault="00F76915" w:rsidP="005C05C8">
      <w:pPr>
        <w:pStyle w:val="NormalWeb"/>
        <w:shd w:val="clear" w:color="auto" w:fill="FFFFFF"/>
        <w:spacing w:before="0" w:beforeAutospacing="0" w:after="0" w:afterAutospacing="0" w:line="240" w:lineRule="auto"/>
        <w:ind w:left="2268"/>
        <w:jc w:val="both"/>
        <w:rPr>
          <w:rFonts w:ascii="Arial" w:hAnsi="Arial" w:cs="Arial"/>
          <w:i/>
          <w:spacing w:val="2"/>
          <w:sz w:val="20"/>
          <w:szCs w:val="20"/>
        </w:rPr>
      </w:pPr>
    </w:p>
    <w:p w:rsidR="005C05C8" w:rsidRPr="005C05C8" w:rsidRDefault="005C05C8" w:rsidP="005C05C8">
      <w:pPr>
        <w:pStyle w:val="NormalWeb"/>
        <w:shd w:val="clear" w:color="auto" w:fill="FFFFFF"/>
        <w:spacing w:before="0" w:beforeAutospacing="0" w:after="0" w:afterAutospacing="0" w:line="240" w:lineRule="auto"/>
        <w:ind w:left="2268"/>
        <w:jc w:val="both"/>
        <w:rPr>
          <w:rFonts w:ascii="Arial" w:hAnsi="Arial" w:cs="Arial"/>
          <w:i/>
          <w:spacing w:val="2"/>
          <w:sz w:val="20"/>
          <w:szCs w:val="20"/>
        </w:rPr>
      </w:pPr>
      <w:r w:rsidRPr="005C05C8">
        <w:rPr>
          <w:rFonts w:ascii="Arial" w:hAnsi="Arial" w:cs="Arial"/>
          <w:i/>
          <w:spacing w:val="2"/>
          <w:sz w:val="20"/>
          <w:szCs w:val="20"/>
        </w:rPr>
        <w:t xml:space="preserve">“PEDIDO DE UNIFORMIZAÇÃO DE JURISPRUDÊNCIA. APOSENTADORIA RURAL PORIDADE RURAL. EFICÁCIA DE DOCUMENTAÇÃO COMO INICIO RAZOÁVEL DE PROVAMATERIAL DO TEMPO DE SERVIÇO RURAL NECESSÁRIO AO MERECIMENTO DO BENEFÍCIO. II PEDIDO NÃO CONHECIDO QUANTO À ALEGADA JURISPRUDÊNCIA DOMINANTE NO STJ DE QUE SE ADMITIRIA A PROVA MERAMENTE TESTEMUNHAL PARA COMPROVAÇÃODO TEMPO DE SERVIÇO RURAL. PARADIGMA DESATUALIZADO E ISOLADO. </w:t>
      </w:r>
      <w:r w:rsidRPr="005C05C8">
        <w:rPr>
          <w:rFonts w:ascii="Arial" w:hAnsi="Arial" w:cs="Arial"/>
          <w:b/>
          <w:i/>
          <w:spacing w:val="2"/>
          <w:sz w:val="20"/>
          <w:szCs w:val="20"/>
        </w:rPr>
        <w:t>SÚMULA Nº 149 DO STJ</w:t>
      </w:r>
      <w:r w:rsidRPr="005C05C8">
        <w:rPr>
          <w:rFonts w:ascii="Arial" w:hAnsi="Arial" w:cs="Arial"/>
          <w:i/>
          <w:spacing w:val="2"/>
          <w:sz w:val="20"/>
          <w:szCs w:val="20"/>
        </w:rPr>
        <w:t xml:space="preserve">. QUESTÃO DE ORDEM Nº 05 DA TNU. </w:t>
      </w:r>
      <w:proofErr w:type="gramStart"/>
      <w:r w:rsidRPr="005C05C8">
        <w:rPr>
          <w:rFonts w:ascii="Arial" w:hAnsi="Arial" w:cs="Arial"/>
          <w:i/>
          <w:spacing w:val="2"/>
          <w:sz w:val="20"/>
          <w:szCs w:val="20"/>
        </w:rPr>
        <w:t>III  INCIDENTE</w:t>
      </w:r>
      <w:proofErr w:type="gramEnd"/>
      <w:r w:rsidRPr="005C05C8">
        <w:rPr>
          <w:rFonts w:ascii="Arial" w:hAnsi="Arial" w:cs="Arial"/>
          <w:i/>
          <w:spacing w:val="2"/>
          <w:sz w:val="20"/>
          <w:szCs w:val="20"/>
        </w:rPr>
        <w:t xml:space="preserve"> NÃO CONHECIDO QUANTO À ALEGADA JURISPRUDÊNCIA DOMINANTENO STJ DE QUE FICHA MÉDICA E DOCUMENTO DE CADASTRO DE CRÉDITO EM QUEO AUTOR SE VEJA QUALIFICADO COMO AGRICULTOR SERVEM COMO INÍCIO DE PROVAMATERIAL DA CONDIÇÃO DE RURÍCOLA, POIS O ACÓRDÃO RECORRIDO NÃO REJEITATAL TESE, MAS RECUSA TAIS DOCUMENTOS, NO CASO, POR CONSIDERÁ-LOS INIDÔNEOS,PORQUE UNILATERAIS, APÓCRIFOS E SEM DATA. APLICAÇÃO ANALÓGICA DA SÚMULANº 07 DO STJ. IV RECURSO NÃO CONHECIDO TAMBÉM QUANTO À ALEGADA DIVERGÊNCIA COMPRECEDENTE DA TNU, DE QUE SE DEVEM MITIGAR AS EXIGÊNCIAS DE PROVA MATERIALEM SE TRATANDO DE BÓIA-FRIA, JÁ QUE O ACÓRDÃO RECORRIDO TAMPOUCO REJEITATAL MITIGAÇÃO, ASSIM NÃO SE CONFIGURANDO O DISSÍDIO JUIRPSPRUDENCIALQUE ENSEJARIA MÉRITO A INCIDENTE DE UNIFORMIZAÇÃO. </w:t>
      </w:r>
      <w:proofErr w:type="gramStart"/>
      <w:r w:rsidRPr="005C05C8">
        <w:rPr>
          <w:rFonts w:ascii="Arial" w:hAnsi="Arial" w:cs="Arial"/>
          <w:i/>
          <w:spacing w:val="2"/>
          <w:sz w:val="20"/>
          <w:szCs w:val="20"/>
        </w:rPr>
        <w:t xml:space="preserve">V  </w:t>
      </w:r>
      <w:r w:rsidRPr="005C05C8">
        <w:rPr>
          <w:rFonts w:ascii="Arial" w:hAnsi="Arial" w:cs="Arial"/>
          <w:b/>
          <w:i/>
          <w:spacing w:val="2"/>
          <w:sz w:val="20"/>
          <w:szCs w:val="20"/>
        </w:rPr>
        <w:t>DEMONSTRADA</w:t>
      </w:r>
      <w:proofErr w:type="gramEnd"/>
      <w:r w:rsidRPr="005C05C8">
        <w:rPr>
          <w:rFonts w:ascii="Arial" w:hAnsi="Arial" w:cs="Arial"/>
          <w:b/>
          <w:i/>
          <w:spacing w:val="2"/>
          <w:sz w:val="20"/>
          <w:szCs w:val="20"/>
        </w:rPr>
        <w:t xml:space="preserve"> DIVERGÊNCIA ENTRE O V. ACÓRDÃO RECORRIDO E O ENTENDIMENTOQUE VEM DE SER ADOTADO PELO C. STJ, COMO NO RESP Nº 605.718/CE, QUANTO A QUESE ADMITE CERTIDÃO DE CASAMENTO COMO INÍCIO DE PROVA MATERIAL DE TEMPO DESERVIÇO RURAL </w:t>
      </w:r>
      <w:r w:rsidRPr="005C05C8">
        <w:rPr>
          <w:rFonts w:ascii="Arial" w:hAnsi="Arial" w:cs="Arial"/>
          <w:i/>
          <w:spacing w:val="2"/>
          <w:sz w:val="20"/>
          <w:szCs w:val="20"/>
        </w:rPr>
        <w:t xml:space="preserve">NECESSÁRIO AO </w:t>
      </w:r>
      <w:r w:rsidRPr="005C05C8">
        <w:rPr>
          <w:rFonts w:ascii="Arial" w:hAnsi="Arial" w:cs="Arial"/>
          <w:b/>
          <w:i/>
          <w:spacing w:val="2"/>
          <w:sz w:val="20"/>
          <w:szCs w:val="20"/>
        </w:rPr>
        <w:t>MERECIMENTO DE APOSENTADORIA RURAL POR IDADE,MESMO QUE TAL DOCUMENTO NÃO SEJA CONTEMPORÂNEO AO PERÍODO DE CARÊNCIA DOBENEFÍCIO. RECONHECIDA A SIMILITUDE FÁTICA E JURÍDICA</w:t>
      </w:r>
      <w:r w:rsidRPr="005C05C8">
        <w:rPr>
          <w:rFonts w:ascii="Arial" w:hAnsi="Arial" w:cs="Arial"/>
          <w:i/>
          <w:spacing w:val="2"/>
          <w:sz w:val="20"/>
          <w:szCs w:val="20"/>
        </w:rPr>
        <w:t xml:space="preserve">. </w:t>
      </w:r>
      <w:r w:rsidRPr="005C05C8">
        <w:rPr>
          <w:rFonts w:ascii="Arial" w:hAnsi="Arial" w:cs="Arial"/>
          <w:b/>
          <w:i/>
          <w:spacing w:val="2"/>
          <w:sz w:val="20"/>
          <w:szCs w:val="20"/>
        </w:rPr>
        <w:t>ACÓRDÃO PARADIGMAQUE, NÃO OBSTANTE ÚNICO, CONSIGNA ESPELHAR A DOMINÂNCIA NAQUELA EG. CORTEDOS ENTENDIMENTOS DE QUE SE ACEITA CERTIDÃO DE CASAMENTO COMO INÍCIO DE PROVAMATERIAL DO TRABALHO RURÍCOLA E DE QUE NÃO SE EXIGE A CONTEMPORANEIDADEDE TAL DOCUMENTO COM O PERÍODO DE CARÊNCIA</w:t>
      </w:r>
      <w:r w:rsidRPr="005C05C8">
        <w:rPr>
          <w:rFonts w:ascii="Arial" w:hAnsi="Arial" w:cs="Arial"/>
          <w:i/>
          <w:spacing w:val="2"/>
          <w:sz w:val="20"/>
          <w:szCs w:val="20"/>
        </w:rPr>
        <w:t xml:space="preserve"> NECESSÁRIO DEMONSTRAR PARA O MERECIMENTO DA APOSENTADORIA RURAL POR IDADE. QUESTÃO DE ORDEM Nº 05 DA TNU. </w:t>
      </w:r>
      <w:r w:rsidRPr="005C05C8">
        <w:rPr>
          <w:rFonts w:ascii="Arial" w:hAnsi="Arial" w:cs="Arial"/>
          <w:b/>
          <w:i/>
          <w:spacing w:val="2"/>
          <w:sz w:val="20"/>
          <w:szCs w:val="20"/>
          <w:u w:val="single"/>
        </w:rPr>
        <w:t>VI NECESSIDADE DE UNIFORMIZAR A COMPREENSÃO DE QUAL É O DISTANCIAMENTO TEMPORAL ENTRE A PROVA MATERIAL E O PERÍODO DE CARÊNCIA DO BENEFÍCIO QUESE MOSTRA RAZOÁVEL ADMITIR PARA EFEITO DE EXTENSÃO DA EFICÁCIA PROBATÓRIADA PROVA MATERIAL POR SOBRE PERÍODO CUJA DEMONSTRAÇÃO CINGE-SE À PROVATESTEMUNHAL</w:t>
      </w:r>
      <w:r w:rsidRPr="005C05C8">
        <w:rPr>
          <w:rFonts w:ascii="Arial" w:hAnsi="Arial" w:cs="Arial"/>
          <w:i/>
          <w:spacing w:val="2"/>
          <w:sz w:val="20"/>
          <w:szCs w:val="20"/>
        </w:rPr>
        <w:t xml:space="preserve">. VII INÍCIO DE PROVA MATERIAL PARA COMPROVAÇÃO DO TEMPO DE SERVIÇORURAL EXIGIDO PELO ART. 55 DA LEI Nº 8.213/91 E NA FORMA DA SÚMULA Nº 149 DO STJ E DAS SÚMULAS NºS 14 E 34 DA </w:t>
      </w:r>
      <w:proofErr w:type="gramStart"/>
      <w:r w:rsidRPr="005C05C8">
        <w:rPr>
          <w:rFonts w:ascii="Arial" w:hAnsi="Arial" w:cs="Arial"/>
          <w:i/>
          <w:spacing w:val="2"/>
          <w:sz w:val="20"/>
          <w:szCs w:val="20"/>
        </w:rPr>
        <w:t xml:space="preserve">TNU.VII  </w:t>
      </w:r>
      <w:r w:rsidRPr="005C05C8">
        <w:rPr>
          <w:rFonts w:ascii="Arial" w:hAnsi="Arial" w:cs="Arial"/>
          <w:b/>
          <w:i/>
          <w:spacing w:val="2"/>
          <w:sz w:val="20"/>
          <w:szCs w:val="20"/>
        </w:rPr>
        <w:t>IDENTIFICAÇÃO</w:t>
      </w:r>
      <w:proofErr w:type="gramEnd"/>
      <w:r w:rsidRPr="005C05C8">
        <w:rPr>
          <w:rFonts w:ascii="Arial" w:hAnsi="Arial" w:cs="Arial"/>
          <w:b/>
          <w:i/>
          <w:spacing w:val="2"/>
          <w:sz w:val="20"/>
          <w:szCs w:val="20"/>
        </w:rPr>
        <w:t xml:space="preserve"> DE EXCEPCIONALIDADE DA EXIGÊNCIA DE CONTEMPORANEIDADE,PARA A CERTIDÃO DE CASAMENTO SER </w:t>
      </w:r>
      <w:r w:rsidRPr="005C05C8">
        <w:rPr>
          <w:rFonts w:ascii="Arial" w:hAnsi="Arial" w:cs="Arial"/>
          <w:b/>
          <w:i/>
          <w:spacing w:val="2"/>
          <w:sz w:val="20"/>
          <w:szCs w:val="20"/>
        </w:rPr>
        <w:lastRenderedPageBreak/>
        <w:t>ACEITA COMO INÍCIO DE PROVA MATERIAL MESMO DISTANDO DO PERÍODO DE CARÊNCIA.</w:t>
      </w:r>
      <w:r w:rsidRPr="005C05C8">
        <w:rPr>
          <w:rFonts w:ascii="Arial" w:hAnsi="Arial" w:cs="Arial"/>
          <w:i/>
          <w:spacing w:val="2"/>
          <w:sz w:val="20"/>
          <w:szCs w:val="20"/>
        </w:rPr>
        <w:t xml:space="preserve"> PRECEDENTE DA TNU E PRECEDENTES DO </w:t>
      </w:r>
      <w:proofErr w:type="gramStart"/>
      <w:r w:rsidRPr="005C05C8">
        <w:rPr>
          <w:rFonts w:ascii="Arial" w:hAnsi="Arial" w:cs="Arial"/>
          <w:i/>
          <w:spacing w:val="2"/>
          <w:sz w:val="20"/>
          <w:szCs w:val="20"/>
        </w:rPr>
        <w:t xml:space="preserve">STJ.IX  </w:t>
      </w:r>
      <w:r w:rsidRPr="005C05C8">
        <w:rPr>
          <w:rFonts w:ascii="Arial" w:hAnsi="Arial" w:cs="Arial"/>
          <w:b/>
          <w:i/>
          <w:spacing w:val="2"/>
          <w:sz w:val="20"/>
          <w:szCs w:val="20"/>
        </w:rPr>
        <w:t>DISTINÇÕES</w:t>
      </w:r>
      <w:proofErr w:type="gramEnd"/>
      <w:r w:rsidRPr="005C05C8">
        <w:rPr>
          <w:rFonts w:ascii="Arial" w:hAnsi="Arial" w:cs="Arial"/>
          <w:b/>
          <w:i/>
          <w:spacing w:val="2"/>
          <w:sz w:val="20"/>
          <w:szCs w:val="20"/>
        </w:rPr>
        <w:t xml:space="preserve"> QUE SE FAZEM, NOS DOCUMENTOS PASSÍVEIS E USUAIS DEAPRESENTAÇÃO PELO PRETENDENTE A DEMONSTRAR TRABALHO RURAL, ENTRE OSDOCUMENTOS PESSOAIS DO REGISTRO CIVIL, COMO AS CERTIDÕES DE NASCIMENTO,CASAMENTO E ÓBITO, DOS DOCUMENTOS PROFISSIONAIS, COMO CARTEIRAS PROFISSIONAISE COMPROVANTES DE PRODUÇÃO RURAL, E DOS DOCUMENTOS IMOBILIÁRIOS, COMOCADASTROS OU ESCRITURAS DE IMÓVEL RURAL OU COMPROVANTES DE ITR</w:t>
      </w:r>
      <w:r w:rsidRPr="005C05C8">
        <w:rPr>
          <w:rFonts w:ascii="Arial" w:hAnsi="Arial" w:cs="Arial"/>
          <w:i/>
          <w:spacing w:val="2"/>
          <w:sz w:val="20"/>
          <w:szCs w:val="20"/>
        </w:rPr>
        <w:t xml:space="preserve">. X OS DOCUMENTOS PROFISSIONAIS E IMOBILIÁRIOS SE REFEREM A SITUAÇÕESCONCRETAS E ESPECÍFICAS, INDICATIVOS DOS LOCAIS, HORÁRIOS, MODOS, PRODUTOS OU VALORES SOBRE OS QUAIS SE DESENVOLVIA O CAMPESINATO, JUSTIFICANDO-SE O MAIOR RIGOR DA EXIGÊNCIA DE QUE SEJAM CONTEMPORÂNEOS À ÉPOCA DE CARÊNCIADO BENEFÍCIO PREVIDENCIÁRIO.XI </w:t>
      </w:r>
      <w:r w:rsidRPr="005C05C8">
        <w:rPr>
          <w:rFonts w:ascii="Arial" w:hAnsi="Arial" w:cs="Arial"/>
          <w:b/>
          <w:i/>
          <w:spacing w:val="2"/>
          <w:sz w:val="20"/>
          <w:szCs w:val="20"/>
          <w:u w:val="single"/>
        </w:rPr>
        <w:t>JÁ AS CERTIDÕES DE NASCIMENTO, CASAMENTO E ÓBITO SÃO DOCUMENTOS PESSOAIS QUE SE APRESENTAM COM DECLARAÇÃO GENÉRICA SOBRE O MODUS VIVENDIRURÍCOLA E DOTADOS DE FÉ PÚBLICA</w:t>
      </w:r>
      <w:r w:rsidRPr="005C05C8">
        <w:rPr>
          <w:rFonts w:ascii="Arial" w:hAnsi="Arial" w:cs="Arial"/>
          <w:i/>
          <w:spacing w:val="2"/>
          <w:sz w:val="20"/>
          <w:szCs w:val="20"/>
        </w:rPr>
        <w:t xml:space="preserve">. DISTINGUISHING SUFICIENTE A RECOMENDAR AADOÇÃO DE VISÕES TAMBÉM DIFERENCIADAS PARA OS DOCUMENTOS PESSOAIS, DE UMLADO, E OS PROFISSIONAIS E IMOBILIÁRIOS, DE OUTRO LADO. </w:t>
      </w:r>
      <w:r w:rsidRPr="005C05C8">
        <w:rPr>
          <w:rFonts w:ascii="Arial" w:hAnsi="Arial" w:cs="Arial"/>
          <w:b/>
          <w:i/>
          <w:spacing w:val="2"/>
          <w:sz w:val="20"/>
          <w:szCs w:val="20"/>
          <w:u w:val="single"/>
        </w:rPr>
        <w:t>IRRAZOABILIDADE DE SELIMITAR A VALIDADE DA CERTIDÃO DE CASAMENTO COMO INÍCIO DE PROVA MATERIAL ÀS HIPÓTESES EM QUE TAL DOCUMENTO ESTEJA COMPREENDIDO NO PERÍODO DE CARÊNCIADA APOSENTADORIA RURAL POR IDADE.</w:t>
      </w:r>
      <w:r w:rsidRPr="005C05C8">
        <w:rPr>
          <w:rFonts w:ascii="Arial" w:hAnsi="Arial" w:cs="Arial"/>
          <w:i/>
          <w:spacing w:val="2"/>
          <w:sz w:val="20"/>
          <w:szCs w:val="20"/>
        </w:rPr>
        <w:t xml:space="preserve"> PRECEDENTE DA TNU E PRECEDENTES DO </w:t>
      </w:r>
      <w:proofErr w:type="gramStart"/>
      <w:r w:rsidRPr="005C05C8">
        <w:rPr>
          <w:rFonts w:ascii="Arial" w:hAnsi="Arial" w:cs="Arial"/>
          <w:i/>
          <w:spacing w:val="2"/>
          <w:sz w:val="20"/>
          <w:szCs w:val="20"/>
        </w:rPr>
        <w:t>STJ.XII  SEM</w:t>
      </w:r>
      <w:proofErr w:type="gramEnd"/>
      <w:r w:rsidRPr="005C05C8">
        <w:rPr>
          <w:rFonts w:ascii="Arial" w:hAnsi="Arial" w:cs="Arial"/>
          <w:i/>
          <w:spacing w:val="2"/>
          <w:sz w:val="20"/>
          <w:szCs w:val="20"/>
        </w:rPr>
        <w:t xml:space="preserve"> ADENTRAR NO REEXAME CASUÍSTICO DO CONJUNTO PROBATÓRIO, MAS DENTRO DA FUNÇÃO UNIFORMIZADORA DESTA TURMA NACIONAL, NO FITO DE ESTABELECER PARÂMETROS PARA A VALORAÇÃO DE PROVAS, </w:t>
      </w:r>
      <w:r w:rsidRPr="005C05C8">
        <w:rPr>
          <w:rFonts w:ascii="Arial" w:hAnsi="Arial" w:cs="Arial"/>
          <w:b/>
          <w:i/>
          <w:spacing w:val="2"/>
          <w:sz w:val="20"/>
          <w:szCs w:val="20"/>
        </w:rPr>
        <w:t xml:space="preserve">FAZ-SE RAZOÁVEL E CONVENIENTE UNIFORMIZAR, COMO CRITÉRIO INTERPRETATIVO DA EFICÁCIA DE DOCUMENTOS COMO INÍCIO DE PROVA MATERIAL, A SER COTEJADO COM OS JÁ CONSTANTES DAS SÚMULAS DE NºS 14 E 34 DESTA EG. TNU, QUE </w:t>
      </w:r>
      <w:r w:rsidRPr="005C05C8">
        <w:rPr>
          <w:rFonts w:ascii="Arial" w:hAnsi="Arial" w:cs="Arial"/>
          <w:b/>
          <w:i/>
          <w:spacing w:val="2"/>
          <w:sz w:val="20"/>
          <w:szCs w:val="20"/>
          <w:u w:val="single"/>
        </w:rPr>
        <w:t>DOCUMENTOS PESSOAIS DOTADOS DE FÉ PÚBLICA, COMO AS CERTIDÕES DE NASCIMENTO, CASAMENTO E ÓBITO,NÃO NECESSITAM OSTENTAR A CONTEMPORANEIDADE COM O PERÍODO DE CARÊNCIA DOBENEFÍCIO PREVIDENCIÁRIO RURAL PARA SEREM ACEITOS COMO INÍCIO DE PROVA MATERIAL</w:t>
      </w:r>
      <w:r w:rsidRPr="005C05C8">
        <w:rPr>
          <w:rFonts w:ascii="Arial" w:hAnsi="Arial" w:cs="Arial"/>
          <w:b/>
          <w:i/>
          <w:spacing w:val="2"/>
          <w:sz w:val="20"/>
          <w:szCs w:val="20"/>
        </w:rPr>
        <w:t>, DESDE QUE O RESTANTE CONJUNTO PROBATÓRIO PERMITA A EXTENSÃO DESUA EFICÁCIA PROBATÓRIA POR SOBRE AQUELE PERÍODO</w:t>
      </w:r>
      <w:r w:rsidRPr="005C05C8">
        <w:rPr>
          <w:rFonts w:ascii="Arial" w:hAnsi="Arial" w:cs="Arial"/>
          <w:i/>
          <w:spacing w:val="2"/>
          <w:sz w:val="20"/>
          <w:szCs w:val="20"/>
        </w:rPr>
        <w:t xml:space="preserve">.XIII APLICAÇÃO DA QUESTÃO DE ORDEM Nº 06 PARA A TNU JÁ PROSSEGUIR NO EXAME DO MÉRITO DA CAUSA, VISTO COMO </w:t>
      </w:r>
      <w:r w:rsidRPr="005C05C8">
        <w:rPr>
          <w:rFonts w:ascii="Arial" w:hAnsi="Arial" w:cs="Arial"/>
          <w:b/>
          <w:i/>
          <w:spacing w:val="2"/>
          <w:sz w:val="20"/>
          <w:szCs w:val="20"/>
        </w:rPr>
        <w:t>TANTO A SENTENÇA COMO O ACÓRDÃO JÁ SOPESARAM A PROVA ORAL PRODUZIDA FAVORAVELMENTE AO AUTOR</w:t>
      </w:r>
      <w:r w:rsidRPr="005C05C8">
        <w:rPr>
          <w:rFonts w:ascii="Arial" w:hAnsi="Arial" w:cs="Arial"/>
          <w:i/>
          <w:spacing w:val="2"/>
          <w:sz w:val="20"/>
          <w:szCs w:val="20"/>
        </w:rPr>
        <w:t xml:space="preserve">. XIV - INCIDENTE DE UNIFORMIZAÇÃO PARCIALMENTE CONHECIDO E, NESTA </w:t>
      </w:r>
      <w:proofErr w:type="gramStart"/>
      <w:r w:rsidRPr="005C05C8">
        <w:rPr>
          <w:rFonts w:ascii="Arial" w:hAnsi="Arial" w:cs="Arial"/>
          <w:i/>
          <w:spacing w:val="2"/>
          <w:sz w:val="20"/>
          <w:szCs w:val="20"/>
        </w:rPr>
        <w:t>PARTE,PROVIDO</w:t>
      </w:r>
      <w:proofErr w:type="gramEnd"/>
      <w:r w:rsidRPr="005C05C8">
        <w:rPr>
          <w:rFonts w:ascii="Arial" w:hAnsi="Arial" w:cs="Arial"/>
          <w:i/>
          <w:spacing w:val="2"/>
          <w:sz w:val="20"/>
          <w:szCs w:val="20"/>
        </w:rPr>
        <w:t xml:space="preserve">, REFORMANDO-SE O ACÓRDÃO PARA RESTAURAÇÃO DA SENTENÇA DE PROCEDÊNCIA DO PEDIDO DE CONCESSÃO DE APOSENTADORIA RURAL POR IDADE. CONDENAÇÃO DO INSS AO PAGAMENTO DE HONORÁRIOS </w:t>
      </w:r>
      <w:proofErr w:type="gramStart"/>
      <w:r w:rsidRPr="005C05C8">
        <w:rPr>
          <w:rFonts w:ascii="Arial" w:hAnsi="Arial" w:cs="Arial"/>
          <w:i/>
          <w:spacing w:val="2"/>
          <w:sz w:val="20"/>
          <w:szCs w:val="20"/>
        </w:rPr>
        <w:t>ADVOCATÍCIOS,CONFORME</w:t>
      </w:r>
      <w:proofErr w:type="gramEnd"/>
      <w:r w:rsidRPr="005C05C8">
        <w:rPr>
          <w:rFonts w:ascii="Arial" w:hAnsi="Arial" w:cs="Arial"/>
          <w:i/>
          <w:spacing w:val="2"/>
          <w:sz w:val="20"/>
          <w:szCs w:val="20"/>
        </w:rPr>
        <w:t xml:space="preserve"> QUESTÃO DE ORDEM Nº 02 DA TNU.</w:t>
      </w:r>
    </w:p>
    <w:p w:rsidR="005C05C8" w:rsidRPr="005C05C8" w:rsidRDefault="005C05C8" w:rsidP="005C05C8">
      <w:pPr>
        <w:pStyle w:val="NormalWeb"/>
        <w:shd w:val="clear" w:color="auto" w:fill="FFFFFF"/>
        <w:spacing w:before="0" w:beforeAutospacing="0" w:after="0" w:afterAutospacing="0" w:line="240" w:lineRule="auto"/>
        <w:ind w:left="2268"/>
        <w:jc w:val="both"/>
        <w:rPr>
          <w:rFonts w:ascii="Arial" w:hAnsi="Arial" w:cs="Arial"/>
          <w:i/>
          <w:spacing w:val="2"/>
          <w:sz w:val="20"/>
          <w:szCs w:val="20"/>
        </w:rPr>
      </w:pPr>
      <w:r w:rsidRPr="005C05C8">
        <w:rPr>
          <w:rFonts w:ascii="Arial" w:hAnsi="Arial" w:cs="Arial"/>
          <w:i/>
          <w:spacing w:val="2"/>
          <w:sz w:val="20"/>
          <w:szCs w:val="20"/>
        </w:rPr>
        <w:t>(TNU - PEDILEF: 200670950141890 PR, Relator: JUIZ FEDERAL MANOEL ROLIM CAMPBELL PENNA, Data de Julgamento: 08/02/2010, Data de Publicação: DJ 05/05/2010)</w:t>
      </w:r>
    </w:p>
    <w:p w:rsidR="005C05C8" w:rsidRDefault="005C05C8" w:rsidP="005C05C8">
      <w:pPr>
        <w:pStyle w:val="NormalWeb"/>
        <w:shd w:val="clear" w:color="auto" w:fill="FFFFFF"/>
        <w:spacing w:before="0" w:beforeAutospacing="0"/>
        <w:rPr>
          <w:rFonts w:ascii="Georgia" w:hAnsi="Georgia"/>
          <w:spacing w:val="2"/>
          <w:sz w:val="30"/>
          <w:szCs w:val="30"/>
        </w:rPr>
      </w:pPr>
    </w:p>
    <w:p w:rsidR="005C05C8" w:rsidRDefault="005C05C8" w:rsidP="005C05C8"/>
    <w:p w:rsidR="005C05C8" w:rsidRPr="003E63D2" w:rsidRDefault="005C05C8" w:rsidP="003E63D2">
      <w:pPr>
        <w:spacing w:line="240" w:lineRule="auto"/>
        <w:ind w:left="2268"/>
        <w:jc w:val="both"/>
        <w:rPr>
          <w:rFonts w:ascii="Arial" w:hAnsi="Arial" w:cs="Arial"/>
          <w:i/>
          <w:color w:val="000000"/>
          <w:sz w:val="18"/>
          <w:szCs w:val="18"/>
          <w:shd w:val="clear" w:color="auto" w:fill="FFFFFF"/>
        </w:rPr>
      </w:pPr>
    </w:p>
    <w:p w:rsidR="003E63D2" w:rsidRDefault="003E63D2" w:rsidP="003E63D2">
      <w:pPr>
        <w:spacing w:line="240" w:lineRule="auto"/>
        <w:ind w:left="2268"/>
        <w:jc w:val="both"/>
        <w:rPr>
          <w:rFonts w:ascii="Arial" w:hAnsi="Arial" w:cs="Arial"/>
          <w:color w:val="000000"/>
          <w:sz w:val="18"/>
          <w:szCs w:val="18"/>
          <w:shd w:val="clear" w:color="auto" w:fill="FFFFFF"/>
        </w:rPr>
      </w:pPr>
    </w:p>
    <w:p w:rsidR="003E63D2" w:rsidRPr="00567309" w:rsidRDefault="003E63D2" w:rsidP="003E63D2">
      <w:pPr>
        <w:spacing w:line="240" w:lineRule="auto"/>
        <w:ind w:left="2268"/>
        <w:jc w:val="both"/>
        <w:rPr>
          <w:rFonts w:ascii="Arial" w:hAnsi="Arial" w:cs="Arial"/>
          <w:b/>
          <w:color w:val="000000"/>
          <w:sz w:val="18"/>
          <w:szCs w:val="18"/>
          <w:shd w:val="clear" w:color="auto" w:fill="FFFFFF"/>
        </w:rPr>
      </w:pPr>
    </w:p>
    <w:p w:rsidR="00C52B8B" w:rsidRPr="00D65B75" w:rsidRDefault="00C52B8B" w:rsidP="00C52B8B">
      <w:pPr>
        <w:tabs>
          <w:tab w:val="left" w:pos="720"/>
        </w:tabs>
        <w:spacing w:line="240" w:lineRule="auto"/>
        <w:jc w:val="both"/>
        <w:rPr>
          <w:rFonts w:ascii="Arial" w:eastAsia="Lucida Sans Unicode" w:hAnsi="Arial" w:cs="Arial"/>
          <w:b/>
          <w:sz w:val="20"/>
          <w:szCs w:val="20"/>
        </w:rPr>
      </w:pPr>
    </w:p>
    <w:p w:rsidR="00C52B8B" w:rsidRPr="00A31A04" w:rsidRDefault="00C52B8B" w:rsidP="00295FF3">
      <w:pPr>
        <w:numPr>
          <w:ilvl w:val="0"/>
          <w:numId w:val="21"/>
        </w:numPr>
        <w:tabs>
          <w:tab w:val="left" w:pos="426"/>
          <w:tab w:val="left" w:pos="1134"/>
        </w:tabs>
        <w:jc w:val="both"/>
        <w:rPr>
          <w:rFonts w:ascii="Arial" w:eastAsia="HG Mincho Light J" w:hAnsi="Arial" w:cs="Arial"/>
          <w:b/>
          <w:bCs/>
          <w:color w:val="000000"/>
          <w:shd w:val="clear" w:color="auto" w:fill="FFFFFF"/>
        </w:rPr>
      </w:pPr>
      <w:r w:rsidRPr="00A31A04">
        <w:rPr>
          <w:rFonts w:ascii="Arial" w:eastAsia="HG Mincho Light J" w:hAnsi="Arial" w:cs="Arial"/>
          <w:b/>
          <w:bCs/>
          <w:color w:val="000000"/>
          <w:shd w:val="clear" w:color="auto" w:fill="FFFFFF"/>
        </w:rPr>
        <w:t>DO</w:t>
      </w:r>
      <w:r>
        <w:rPr>
          <w:rFonts w:ascii="Arial" w:eastAsia="HG Mincho Light J" w:hAnsi="Arial" w:cs="Arial"/>
          <w:b/>
          <w:bCs/>
          <w:color w:val="000000"/>
          <w:shd w:val="clear" w:color="auto" w:fill="FFFFFF"/>
        </w:rPr>
        <w:t>S</w:t>
      </w:r>
      <w:r w:rsidRPr="00A31A04">
        <w:rPr>
          <w:rFonts w:ascii="Arial" w:eastAsia="HG Mincho Light J" w:hAnsi="Arial" w:cs="Arial"/>
          <w:b/>
          <w:bCs/>
          <w:color w:val="000000"/>
          <w:shd w:val="clear" w:color="auto" w:fill="FFFFFF"/>
        </w:rPr>
        <w:t xml:space="preserve"> PEDIDO</w:t>
      </w:r>
      <w:r>
        <w:rPr>
          <w:rFonts w:ascii="Arial" w:eastAsia="HG Mincho Light J" w:hAnsi="Arial" w:cs="Arial"/>
          <w:b/>
          <w:bCs/>
          <w:color w:val="000000"/>
          <w:shd w:val="clear" w:color="auto" w:fill="FFFFFF"/>
        </w:rPr>
        <w:t>S</w:t>
      </w:r>
    </w:p>
    <w:p w:rsidR="00C52B8B" w:rsidRPr="00A31A04" w:rsidRDefault="00C52B8B" w:rsidP="00C52B8B">
      <w:pPr>
        <w:pStyle w:val="Normal1"/>
        <w:tabs>
          <w:tab w:val="left" w:pos="1995"/>
          <w:tab w:val="left" w:pos="2355"/>
        </w:tabs>
        <w:spacing w:line="360" w:lineRule="auto"/>
        <w:ind w:left="1995"/>
        <w:jc w:val="both"/>
        <w:rPr>
          <w:rFonts w:ascii="Arial" w:eastAsia="Lucida Sans Unicode" w:hAnsi="Arial" w:cs="Arial"/>
        </w:rPr>
      </w:pPr>
    </w:p>
    <w:p w:rsidR="00C52B8B" w:rsidRDefault="00BF07EC" w:rsidP="00C52B8B">
      <w:pPr>
        <w:numPr>
          <w:ilvl w:val="0"/>
          <w:numId w:val="16"/>
        </w:numPr>
        <w:tabs>
          <w:tab w:val="clear" w:pos="360"/>
          <w:tab w:val="num" w:pos="0"/>
          <w:tab w:val="left" w:pos="420"/>
          <w:tab w:val="left" w:pos="780"/>
        </w:tabs>
        <w:suppressAutoHyphens/>
        <w:ind w:left="420"/>
        <w:jc w:val="both"/>
        <w:rPr>
          <w:rFonts w:ascii="Arial" w:eastAsia="HG Mincho Light J" w:hAnsi="Arial" w:cs="Arial"/>
          <w:color w:val="000000"/>
        </w:rPr>
      </w:pPr>
      <w:r>
        <w:rPr>
          <w:rFonts w:ascii="Arial" w:eastAsia="HG Mincho Light J" w:hAnsi="Arial" w:cs="Arial"/>
          <w:color w:val="000000"/>
        </w:rPr>
        <w:t>A admiss</w:t>
      </w:r>
      <w:r w:rsidR="00F43F50">
        <w:rPr>
          <w:rFonts w:ascii="Arial" w:eastAsia="HG Mincho Light J" w:hAnsi="Arial" w:cs="Arial"/>
          <w:color w:val="000000"/>
        </w:rPr>
        <w:t xml:space="preserve">ão do Presente Incidente acompanhado da </w:t>
      </w:r>
      <w:r w:rsidR="00F43F50" w:rsidRPr="006E7F89">
        <w:rPr>
          <w:rFonts w:ascii="Arial" w:eastAsia="HG Mincho Light J" w:hAnsi="Arial" w:cs="Arial"/>
          <w:b/>
          <w:color w:val="000000"/>
        </w:rPr>
        <w:t>decisão para suspender todos os processos pendentes, individuais ou coletivos, que tramitam no âmbito do TRF1, tanto no primeiro quando no segundo grau de jurisdição, inclusive os que tramitam no âmbito dos Juizados Especiais Federais</w:t>
      </w:r>
      <w:r w:rsidR="005B3022" w:rsidRPr="006E7F89">
        <w:rPr>
          <w:rFonts w:ascii="Arial" w:eastAsia="HG Mincho Light J" w:hAnsi="Arial" w:cs="Arial"/>
          <w:b/>
          <w:color w:val="000000"/>
        </w:rPr>
        <w:t xml:space="preserve"> no primeiro grau e nas Turmas Recursais respectivas</w:t>
      </w:r>
      <w:r w:rsidR="00F43F50">
        <w:rPr>
          <w:rFonts w:ascii="Arial" w:eastAsia="HG Mincho Light J" w:hAnsi="Arial" w:cs="Arial"/>
          <w:color w:val="000000"/>
        </w:rPr>
        <w:t>;</w:t>
      </w:r>
    </w:p>
    <w:p w:rsidR="0070166F" w:rsidRDefault="0070166F" w:rsidP="0070166F">
      <w:pPr>
        <w:tabs>
          <w:tab w:val="left" w:pos="420"/>
          <w:tab w:val="left" w:pos="780"/>
        </w:tabs>
        <w:suppressAutoHyphens/>
        <w:ind w:left="420"/>
        <w:jc w:val="both"/>
        <w:rPr>
          <w:rFonts w:ascii="Arial" w:eastAsia="HG Mincho Light J" w:hAnsi="Arial" w:cs="Arial"/>
          <w:color w:val="000000"/>
        </w:rPr>
      </w:pPr>
    </w:p>
    <w:p w:rsidR="00F43F50" w:rsidRDefault="00701162" w:rsidP="00C52B8B">
      <w:pPr>
        <w:numPr>
          <w:ilvl w:val="0"/>
          <w:numId w:val="16"/>
        </w:numPr>
        <w:tabs>
          <w:tab w:val="clear" w:pos="360"/>
          <w:tab w:val="num" w:pos="0"/>
          <w:tab w:val="left" w:pos="420"/>
          <w:tab w:val="left" w:pos="780"/>
        </w:tabs>
        <w:suppressAutoHyphens/>
        <w:ind w:left="420"/>
        <w:jc w:val="both"/>
        <w:rPr>
          <w:rFonts w:ascii="Arial" w:eastAsia="HG Mincho Light J" w:hAnsi="Arial" w:cs="Arial"/>
          <w:color w:val="000000"/>
        </w:rPr>
      </w:pPr>
      <w:r w:rsidRPr="00AB423B">
        <w:rPr>
          <w:rFonts w:ascii="Arial" w:eastAsia="HG Mincho Light J" w:hAnsi="Arial" w:cs="Arial"/>
          <w:b/>
          <w:color w:val="000000"/>
        </w:rPr>
        <w:t xml:space="preserve">A requisição à Turma Recursal de </w:t>
      </w:r>
      <w:r w:rsidR="00C40984">
        <w:rPr>
          <w:rFonts w:ascii="Arial" w:eastAsia="HG Mincho Light J" w:hAnsi="Arial" w:cs="Arial"/>
          <w:b/>
          <w:color w:val="000000"/>
        </w:rPr>
        <w:t>XXXXX</w:t>
      </w:r>
      <w:r>
        <w:rPr>
          <w:rFonts w:ascii="Arial" w:eastAsia="HG Mincho Light J" w:hAnsi="Arial" w:cs="Arial"/>
          <w:color w:val="000000"/>
        </w:rPr>
        <w:t xml:space="preserve"> </w:t>
      </w:r>
      <w:r w:rsidR="000D3A8E" w:rsidRPr="006E7F89">
        <w:rPr>
          <w:rFonts w:ascii="Arial" w:eastAsia="HG Mincho Light J" w:hAnsi="Arial" w:cs="Arial"/>
          <w:b/>
          <w:color w:val="000000"/>
        </w:rPr>
        <w:t>dos autos d</w:t>
      </w:r>
      <w:r w:rsidR="00376A0A" w:rsidRPr="006E7F89">
        <w:rPr>
          <w:rFonts w:ascii="Arial" w:eastAsia="HG Mincho Light J" w:hAnsi="Arial" w:cs="Arial"/>
          <w:b/>
          <w:color w:val="000000"/>
        </w:rPr>
        <w:t xml:space="preserve">a “causa-piloto” </w:t>
      </w:r>
      <w:r w:rsidR="005B3022" w:rsidRPr="006E7F89">
        <w:rPr>
          <w:rFonts w:ascii="Arial" w:eastAsia="HG Mincho Light J" w:hAnsi="Arial" w:cs="Arial"/>
          <w:b/>
          <w:color w:val="000000"/>
        </w:rPr>
        <w:t>(processo</w:t>
      </w:r>
      <w:r w:rsidR="00376A0A" w:rsidRPr="006E7F89">
        <w:rPr>
          <w:rFonts w:ascii="Arial" w:eastAsia="HG Mincho Light J" w:hAnsi="Arial" w:cs="Arial"/>
          <w:b/>
          <w:color w:val="000000"/>
        </w:rPr>
        <w:t xml:space="preserve"> que gerou este IRDR)</w:t>
      </w:r>
      <w:r w:rsidR="00C860DB" w:rsidRPr="006E7F89">
        <w:rPr>
          <w:rFonts w:ascii="Arial" w:eastAsia="HG Mincho Light J" w:hAnsi="Arial" w:cs="Arial"/>
          <w:b/>
          <w:color w:val="000000"/>
        </w:rPr>
        <w:t xml:space="preserve"> </w:t>
      </w:r>
      <w:r w:rsidR="00C860DB">
        <w:rPr>
          <w:rFonts w:ascii="Arial" w:eastAsia="HG Mincho Light J" w:hAnsi="Arial" w:cs="Arial"/>
          <w:color w:val="000000"/>
        </w:rPr>
        <w:t>para</w:t>
      </w:r>
      <w:r w:rsidR="00376A0A">
        <w:rPr>
          <w:rFonts w:ascii="Arial" w:eastAsia="HG Mincho Light J" w:hAnsi="Arial" w:cs="Arial"/>
          <w:color w:val="000000"/>
        </w:rPr>
        <w:t xml:space="preserve"> seja remetido ao T</w:t>
      </w:r>
      <w:r w:rsidR="00C860DB">
        <w:rPr>
          <w:rFonts w:ascii="Arial" w:eastAsia="HG Mincho Light J" w:hAnsi="Arial" w:cs="Arial"/>
          <w:color w:val="000000"/>
        </w:rPr>
        <w:t xml:space="preserve">RF1 </w:t>
      </w:r>
      <w:r w:rsidR="00376A0A">
        <w:rPr>
          <w:rFonts w:ascii="Arial" w:eastAsia="HG Mincho Light J" w:hAnsi="Arial" w:cs="Arial"/>
          <w:color w:val="000000"/>
        </w:rPr>
        <w:t>para</w:t>
      </w:r>
      <w:r w:rsidR="00C860DB">
        <w:rPr>
          <w:rFonts w:ascii="Arial" w:eastAsia="HG Mincho Light J" w:hAnsi="Arial" w:cs="Arial"/>
          <w:color w:val="000000"/>
        </w:rPr>
        <w:t xml:space="preserve"> a </w:t>
      </w:r>
      <w:r w:rsidR="008D6EF3">
        <w:rPr>
          <w:rFonts w:ascii="Arial" w:eastAsia="HG Mincho Light J" w:hAnsi="Arial" w:cs="Arial"/>
          <w:color w:val="000000"/>
        </w:rPr>
        <w:t>boa e correta análise</w:t>
      </w:r>
      <w:r w:rsidR="00C860DB">
        <w:rPr>
          <w:rFonts w:ascii="Arial" w:eastAsia="HG Mincho Light J" w:hAnsi="Arial" w:cs="Arial"/>
          <w:color w:val="000000"/>
        </w:rPr>
        <w:t xml:space="preserve"> </w:t>
      </w:r>
      <w:r w:rsidR="008D6EF3">
        <w:rPr>
          <w:rFonts w:ascii="Arial" w:eastAsia="HG Mincho Light J" w:hAnsi="Arial" w:cs="Arial"/>
          <w:color w:val="000000"/>
        </w:rPr>
        <w:t>(meritória</w:t>
      </w:r>
      <w:r w:rsidR="00C860DB">
        <w:rPr>
          <w:rFonts w:ascii="Arial" w:eastAsia="HG Mincho Light J" w:hAnsi="Arial" w:cs="Arial"/>
          <w:color w:val="000000"/>
        </w:rPr>
        <w:t xml:space="preserve">, que passa pelas provas produzidas e que são objeto da discussão de direito, qual seja: a sua validade como início de prova </w:t>
      </w:r>
      <w:r w:rsidR="008D6EF3">
        <w:rPr>
          <w:rFonts w:ascii="Arial" w:eastAsia="HG Mincho Light J" w:hAnsi="Arial" w:cs="Arial"/>
          <w:color w:val="000000"/>
        </w:rPr>
        <w:t>material</w:t>
      </w:r>
      <w:r w:rsidR="00C860DB">
        <w:rPr>
          <w:rFonts w:ascii="Arial" w:eastAsia="HG Mincho Light J" w:hAnsi="Arial" w:cs="Arial"/>
          <w:color w:val="000000"/>
        </w:rPr>
        <w:t xml:space="preserve">, além das questões de natureza processual aventadas nesse incidente e que se comunicam com a matéria de </w:t>
      </w:r>
      <w:r w:rsidR="005E5EA9">
        <w:rPr>
          <w:rFonts w:ascii="Arial" w:eastAsia="HG Mincho Light J" w:hAnsi="Arial" w:cs="Arial"/>
          <w:color w:val="000000"/>
        </w:rPr>
        <w:t>direito) e</w:t>
      </w:r>
      <w:r w:rsidR="00376A0A">
        <w:rPr>
          <w:rFonts w:ascii="Arial" w:eastAsia="HG Mincho Light J" w:hAnsi="Arial" w:cs="Arial"/>
          <w:color w:val="000000"/>
        </w:rPr>
        <w:t xml:space="preserve"> julgamento do IRDR;</w:t>
      </w:r>
    </w:p>
    <w:p w:rsidR="0070166F" w:rsidRDefault="0070166F" w:rsidP="0070166F">
      <w:pPr>
        <w:tabs>
          <w:tab w:val="left" w:pos="420"/>
          <w:tab w:val="left" w:pos="780"/>
        </w:tabs>
        <w:suppressAutoHyphens/>
        <w:ind w:left="420"/>
        <w:jc w:val="both"/>
        <w:rPr>
          <w:rFonts w:ascii="Arial" w:eastAsia="HG Mincho Light J" w:hAnsi="Arial" w:cs="Arial"/>
          <w:color w:val="000000"/>
        </w:rPr>
      </w:pPr>
    </w:p>
    <w:p w:rsidR="001F57A1" w:rsidRDefault="001F57A1" w:rsidP="00C52B8B">
      <w:pPr>
        <w:numPr>
          <w:ilvl w:val="0"/>
          <w:numId w:val="16"/>
        </w:numPr>
        <w:tabs>
          <w:tab w:val="clear" w:pos="360"/>
          <w:tab w:val="num" w:pos="0"/>
          <w:tab w:val="left" w:pos="420"/>
          <w:tab w:val="left" w:pos="780"/>
        </w:tabs>
        <w:suppressAutoHyphens/>
        <w:ind w:left="420"/>
        <w:jc w:val="both"/>
        <w:rPr>
          <w:rFonts w:ascii="Arial" w:eastAsia="HG Mincho Light J" w:hAnsi="Arial" w:cs="Arial"/>
          <w:color w:val="000000"/>
        </w:rPr>
      </w:pPr>
      <w:r>
        <w:rPr>
          <w:rFonts w:ascii="Arial" w:eastAsia="HG Mincho Light J" w:hAnsi="Arial" w:cs="Arial"/>
          <w:color w:val="000000"/>
        </w:rPr>
        <w:t>De posse dos autos,</w:t>
      </w:r>
      <w:r w:rsidR="00E0393D">
        <w:rPr>
          <w:rFonts w:ascii="Arial" w:eastAsia="HG Mincho Light J" w:hAnsi="Arial" w:cs="Arial"/>
          <w:color w:val="000000"/>
        </w:rPr>
        <w:t xml:space="preserve"> durante o tramite do procedimento, ou mesmo ao seu desiderato,</w:t>
      </w:r>
      <w:r>
        <w:rPr>
          <w:rFonts w:ascii="Arial" w:eastAsia="HG Mincho Light J" w:hAnsi="Arial" w:cs="Arial"/>
          <w:color w:val="000000"/>
        </w:rPr>
        <w:t xml:space="preserve"> </w:t>
      </w:r>
      <w:r w:rsidRPr="00C40984">
        <w:rPr>
          <w:rFonts w:ascii="Arial" w:eastAsia="HG Mincho Light J" w:hAnsi="Arial" w:cs="Arial"/>
          <w:b/>
          <w:color w:val="000000"/>
        </w:rPr>
        <w:t>verificad</w:t>
      </w:r>
      <w:r w:rsidR="002357B9" w:rsidRPr="00C40984">
        <w:rPr>
          <w:rFonts w:ascii="Arial" w:eastAsia="HG Mincho Light J" w:hAnsi="Arial" w:cs="Arial"/>
          <w:b/>
          <w:color w:val="000000"/>
        </w:rPr>
        <w:t>o</w:t>
      </w:r>
      <w:r w:rsidRPr="00C40984">
        <w:rPr>
          <w:rFonts w:ascii="Arial" w:eastAsia="HG Mincho Light J" w:hAnsi="Arial" w:cs="Arial"/>
          <w:b/>
          <w:color w:val="000000"/>
        </w:rPr>
        <w:t xml:space="preserve"> o “tumulto </w:t>
      </w:r>
      <w:r w:rsidR="005B3022" w:rsidRPr="00C40984">
        <w:rPr>
          <w:rFonts w:ascii="Arial" w:eastAsia="HG Mincho Light J" w:hAnsi="Arial" w:cs="Arial"/>
          <w:b/>
          <w:color w:val="000000"/>
        </w:rPr>
        <w:t>processual</w:t>
      </w:r>
      <w:r w:rsidR="005B3022">
        <w:rPr>
          <w:rFonts w:ascii="Arial" w:eastAsia="HG Mincho Light J" w:hAnsi="Arial" w:cs="Arial"/>
          <w:color w:val="000000"/>
        </w:rPr>
        <w:t xml:space="preserve">” por esta Corte </w:t>
      </w:r>
      <w:r w:rsidR="009A2360">
        <w:rPr>
          <w:rFonts w:ascii="Arial" w:eastAsia="HG Mincho Light J" w:hAnsi="Arial" w:cs="Arial"/>
          <w:color w:val="000000"/>
        </w:rPr>
        <w:t>(com</w:t>
      </w:r>
      <w:r>
        <w:rPr>
          <w:rFonts w:ascii="Arial" w:eastAsia="HG Mincho Light J" w:hAnsi="Arial" w:cs="Arial"/>
          <w:color w:val="000000"/>
        </w:rPr>
        <w:t xml:space="preserve"> base em sequenciais decisões teratológicas </w:t>
      </w:r>
      <w:r w:rsidR="0070166F">
        <w:rPr>
          <w:rFonts w:ascii="Arial" w:eastAsia="HG Mincho Light J" w:hAnsi="Arial" w:cs="Arial"/>
          <w:color w:val="000000"/>
        </w:rPr>
        <w:t xml:space="preserve">que inadmitem recursos e incidentes com base em sumulas que nada tem a ver com a hipótese </w:t>
      </w:r>
      <w:r w:rsidR="0070166F">
        <w:rPr>
          <w:rFonts w:ascii="Arial" w:eastAsia="HG Mincho Light J" w:hAnsi="Arial" w:cs="Arial"/>
          <w:i/>
          <w:color w:val="000000"/>
        </w:rPr>
        <w:t>in concretu</w:t>
      </w:r>
      <w:r>
        <w:rPr>
          <w:rFonts w:ascii="Arial" w:eastAsia="HG Mincho Light J" w:hAnsi="Arial" w:cs="Arial"/>
          <w:color w:val="000000"/>
        </w:rPr>
        <w:t xml:space="preserve">), </w:t>
      </w:r>
      <w:r w:rsidR="009A2360">
        <w:rPr>
          <w:rFonts w:ascii="Arial" w:eastAsia="HG Mincho Light J" w:hAnsi="Arial" w:cs="Arial"/>
          <w:color w:val="000000"/>
        </w:rPr>
        <w:t>sendo a última decisão</w:t>
      </w:r>
      <w:r w:rsidR="00136930">
        <w:rPr>
          <w:rFonts w:ascii="Arial" w:eastAsia="HG Mincho Light J" w:hAnsi="Arial" w:cs="Arial"/>
          <w:color w:val="000000"/>
        </w:rPr>
        <w:t xml:space="preserve"> de inadmissão de PEDILEF colegiada da Turma Recursal</w:t>
      </w:r>
      <w:r w:rsidR="009A2360">
        <w:rPr>
          <w:rFonts w:ascii="Arial" w:eastAsia="HG Mincho Light J" w:hAnsi="Arial" w:cs="Arial"/>
          <w:color w:val="000000"/>
        </w:rPr>
        <w:t xml:space="preserve"> irrecorrível ( </w:t>
      </w:r>
      <w:r w:rsidR="00BE7A72">
        <w:rPr>
          <w:rFonts w:ascii="Arial" w:eastAsia="HG Mincho Light J" w:hAnsi="Arial" w:cs="Arial"/>
          <w:color w:val="000000"/>
        </w:rPr>
        <w:t xml:space="preserve">consoante a norma do CJF que ora se pede a declaração incidental de inconstitucionalidade), </w:t>
      </w:r>
      <w:r w:rsidR="00BE7A72" w:rsidRPr="00C40984">
        <w:rPr>
          <w:rFonts w:ascii="Arial" w:eastAsia="HG Mincho Light J" w:hAnsi="Arial" w:cs="Arial"/>
          <w:b/>
          <w:color w:val="000000"/>
        </w:rPr>
        <w:t xml:space="preserve">fica desde já requerido que se encaminhe o feito ao Corregedor </w:t>
      </w:r>
      <w:r w:rsidR="002357B9" w:rsidRPr="00C40984">
        <w:rPr>
          <w:rFonts w:ascii="Arial" w:eastAsia="HG Mincho Light J" w:hAnsi="Arial" w:cs="Arial"/>
          <w:b/>
          <w:color w:val="000000"/>
        </w:rPr>
        <w:t>Regiona</w:t>
      </w:r>
      <w:r w:rsidR="002357B9">
        <w:rPr>
          <w:rFonts w:ascii="Arial" w:eastAsia="HG Mincho Light J" w:hAnsi="Arial" w:cs="Arial"/>
          <w:color w:val="000000"/>
        </w:rPr>
        <w:t xml:space="preserve">l para  </w:t>
      </w:r>
      <w:r w:rsidR="002357B9" w:rsidRPr="00F8445B">
        <w:rPr>
          <w:rFonts w:ascii="Arial" w:eastAsia="HG Mincho Light J" w:hAnsi="Arial" w:cs="Arial"/>
          <w:b/>
          <w:color w:val="000000"/>
        </w:rPr>
        <w:t>fins de “ Correição Parcial” incidental</w:t>
      </w:r>
      <w:r w:rsidR="002357B9">
        <w:rPr>
          <w:rFonts w:ascii="Arial" w:eastAsia="HG Mincho Light J" w:hAnsi="Arial" w:cs="Arial"/>
          <w:color w:val="000000"/>
        </w:rPr>
        <w:t xml:space="preserve"> ( que pode, inclusive, esvaziar o conteúdo deste IRDR, caso o Incidente de Uniformização da Jurisprudência proposto nos autos seja admitido para que a TNU conheça suas razões)</w:t>
      </w:r>
      <w:r w:rsidR="00B15B50">
        <w:rPr>
          <w:rFonts w:ascii="Arial" w:eastAsia="HG Mincho Light J" w:hAnsi="Arial" w:cs="Arial"/>
          <w:color w:val="000000"/>
        </w:rPr>
        <w:t xml:space="preserve"> diante do abuso de Poder verificado, conforme preceitua o art. 279 e seguintes do Regimento Interno deste TRF1</w:t>
      </w:r>
      <w:r w:rsidR="002357B9">
        <w:rPr>
          <w:rFonts w:ascii="Arial" w:eastAsia="HG Mincho Light J" w:hAnsi="Arial" w:cs="Arial"/>
          <w:color w:val="000000"/>
        </w:rPr>
        <w:t>;</w:t>
      </w:r>
      <w:r>
        <w:rPr>
          <w:rFonts w:ascii="Arial" w:eastAsia="HG Mincho Light J" w:hAnsi="Arial" w:cs="Arial"/>
          <w:color w:val="000000"/>
        </w:rPr>
        <w:t xml:space="preserve">  </w:t>
      </w:r>
    </w:p>
    <w:p w:rsidR="0031626F" w:rsidRPr="00F8445B" w:rsidRDefault="0031626F" w:rsidP="0031626F">
      <w:pPr>
        <w:tabs>
          <w:tab w:val="left" w:pos="420"/>
          <w:tab w:val="left" w:pos="780"/>
        </w:tabs>
        <w:suppressAutoHyphens/>
        <w:jc w:val="both"/>
        <w:rPr>
          <w:rFonts w:ascii="Arial" w:eastAsia="HG Mincho Light J" w:hAnsi="Arial" w:cs="Arial"/>
          <w:b/>
          <w:color w:val="000000"/>
        </w:rPr>
      </w:pPr>
    </w:p>
    <w:p w:rsidR="00701162" w:rsidRDefault="00701162" w:rsidP="00C52B8B">
      <w:pPr>
        <w:numPr>
          <w:ilvl w:val="0"/>
          <w:numId w:val="16"/>
        </w:numPr>
        <w:tabs>
          <w:tab w:val="clear" w:pos="360"/>
          <w:tab w:val="num" w:pos="0"/>
          <w:tab w:val="left" w:pos="420"/>
          <w:tab w:val="left" w:pos="780"/>
        </w:tabs>
        <w:suppressAutoHyphens/>
        <w:ind w:left="420"/>
        <w:jc w:val="both"/>
        <w:rPr>
          <w:rFonts w:ascii="Arial" w:eastAsia="HG Mincho Light J" w:hAnsi="Arial" w:cs="Arial"/>
          <w:color w:val="000000"/>
        </w:rPr>
      </w:pPr>
      <w:r w:rsidRPr="00F8445B">
        <w:rPr>
          <w:rFonts w:ascii="Arial" w:eastAsia="HG Mincho Light J" w:hAnsi="Arial" w:cs="Arial"/>
          <w:b/>
          <w:color w:val="000000"/>
        </w:rPr>
        <w:lastRenderedPageBreak/>
        <w:t xml:space="preserve">A intimação do Ministério Público Federal </w:t>
      </w:r>
      <w:r>
        <w:rPr>
          <w:rFonts w:ascii="Arial" w:eastAsia="HG Mincho Light J" w:hAnsi="Arial" w:cs="Arial"/>
          <w:color w:val="000000"/>
        </w:rPr>
        <w:t>para, querendo, se manifestar</w:t>
      </w:r>
      <w:r w:rsidR="00B15B50">
        <w:rPr>
          <w:rFonts w:ascii="Arial" w:eastAsia="HG Mincho Light J" w:hAnsi="Arial" w:cs="Arial"/>
          <w:color w:val="000000"/>
        </w:rPr>
        <w:t xml:space="preserve"> e, inclusive, conhecendo as ilegalidades apontadas </w:t>
      </w:r>
      <w:r w:rsidR="000D3A8E">
        <w:rPr>
          <w:rFonts w:ascii="Arial" w:eastAsia="HG Mincho Light J" w:hAnsi="Arial" w:cs="Arial"/>
          <w:color w:val="000000"/>
        </w:rPr>
        <w:t>(pedidos</w:t>
      </w:r>
      <w:r w:rsidR="00B15B50">
        <w:rPr>
          <w:rFonts w:ascii="Arial" w:eastAsia="HG Mincho Light J" w:hAnsi="Arial" w:cs="Arial"/>
          <w:color w:val="000000"/>
        </w:rPr>
        <w:t xml:space="preserve"> de declaração incidental de inconstitucionalidade), promova, se quiser, a respectiva ação de controle concentrado de inconsticionalidade</w:t>
      </w:r>
      <w:r w:rsidR="00F8445B">
        <w:rPr>
          <w:rFonts w:ascii="Arial" w:eastAsia="HG Mincho Light J" w:hAnsi="Arial" w:cs="Arial"/>
          <w:color w:val="000000"/>
        </w:rPr>
        <w:t xml:space="preserve"> das normas apontadas como inconstitucionais</w:t>
      </w:r>
      <w:r>
        <w:rPr>
          <w:rFonts w:ascii="Arial" w:eastAsia="HG Mincho Light J" w:hAnsi="Arial" w:cs="Arial"/>
          <w:color w:val="000000"/>
        </w:rPr>
        <w:t>;</w:t>
      </w:r>
    </w:p>
    <w:p w:rsidR="001B5C7A" w:rsidRDefault="001B5C7A" w:rsidP="001B5C7A">
      <w:pPr>
        <w:tabs>
          <w:tab w:val="left" w:pos="420"/>
          <w:tab w:val="left" w:pos="780"/>
        </w:tabs>
        <w:suppressAutoHyphens/>
        <w:ind w:left="420"/>
        <w:jc w:val="both"/>
        <w:rPr>
          <w:rFonts w:ascii="Arial" w:eastAsia="HG Mincho Light J" w:hAnsi="Arial" w:cs="Arial"/>
          <w:color w:val="000000"/>
        </w:rPr>
      </w:pPr>
    </w:p>
    <w:p w:rsidR="00D70A90" w:rsidRDefault="001763B8" w:rsidP="00D70A90">
      <w:pPr>
        <w:numPr>
          <w:ilvl w:val="0"/>
          <w:numId w:val="16"/>
        </w:numPr>
        <w:tabs>
          <w:tab w:val="clear" w:pos="360"/>
          <w:tab w:val="num" w:pos="0"/>
          <w:tab w:val="left" w:pos="420"/>
          <w:tab w:val="left" w:pos="780"/>
        </w:tabs>
        <w:suppressAutoHyphens/>
        <w:ind w:left="420"/>
        <w:jc w:val="both"/>
        <w:rPr>
          <w:rFonts w:ascii="Arial" w:eastAsia="HG Mincho Light J" w:hAnsi="Arial" w:cs="Arial"/>
          <w:color w:val="000000"/>
        </w:rPr>
      </w:pPr>
      <w:r w:rsidRPr="00F8445B">
        <w:rPr>
          <w:rFonts w:ascii="Arial" w:eastAsia="HG Mincho Light J" w:hAnsi="Arial" w:cs="Arial"/>
          <w:b/>
          <w:color w:val="000000"/>
        </w:rPr>
        <w:t xml:space="preserve">A </w:t>
      </w:r>
      <w:r w:rsidR="001B5C7A" w:rsidRPr="00F8445B">
        <w:rPr>
          <w:rFonts w:ascii="Arial" w:eastAsia="HG Mincho Light J" w:hAnsi="Arial" w:cs="Arial"/>
          <w:b/>
          <w:color w:val="000000"/>
        </w:rPr>
        <w:t xml:space="preserve">designação de data para realização de </w:t>
      </w:r>
      <w:r w:rsidRPr="00F8445B">
        <w:rPr>
          <w:rFonts w:ascii="Arial" w:eastAsia="HG Mincho Light J" w:hAnsi="Arial" w:cs="Arial"/>
          <w:b/>
          <w:color w:val="000000"/>
        </w:rPr>
        <w:t>audiência pública</w:t>
      </w:r>
      <w:r>
        <w:rPr>
          <w:rFonts w:ascii="Arial" w:eastAsia="HG Mincho Light J" w:hAnsi="Arial" w:cs="Arial"/>
          <w:color w:val="000000"/>
        </w:rPr>
        <w:t xml:space="preserve"> </w:t>
      </w:r>
      <w:r w:rsidR="0031626F">
        <w:rPr>
          <w:rFonts w:ascii="Arial" w:eastAsia="HG Mincho Light J" w:hAnsi="Arial" w:cs="Arial"/>
          <w:color w:val="000000"/>
        </w:rPr>
        <w:t xml:space="preserve">( art. 983,§1º, NCPC) </w:t>
      </w:r>
      <w:r>
        <w:rPr>
          <w:rFonts w:ascii="Arial" w:eastAsia="HG Mincho Light J" w:hAnsi="Arial" w:cs="Arial"/>
          <w:color w:val="000000"/>
        </w:rPr>
        <w:t>a ser designada por esta Corte com o objetivo de conhecer a situação das Turmas Recursais dos JEF’s em relação ao objeto relacionado a este Incidente</w:t>
      </w:r>
      <w:r w:rsidR="00A333D9">
        <w:rPr>
          <w:rFonts w:ascii="Arial" w:eastAsia="HG Mincho Light J" w:hAnsi="Arial" w:cs="Arial"/>
          <w:color w:val="000000"/>
        </w:rPr>
        <w:t>, as negativas de algumas Turmas Recursais em aplicar o entendimento firmado pela TNU e TRU’s (evitando-se que os processos cheguem àquelas Turmas e sejam retificados)</w:t>
      </w:r>
      <w:r>
        <w:rPr>
          <w:rFonts w:ascii="Arial" w:eastAsia="HG Mincho Light J" w:hAnsi="Arial" w:cs="Arial"/>
          <w:color w:val="000000"/>
        </w:rPr>
        <w:t xml:space="preserve">, bem como </w:t>
      </w:r>
      <w:r w:rsidR="00486F5B">
        <w:rPr>
          <w:rFonts w:ascii="Arial" w:eastAsia="HG Mincho Light J" w:hAnsi="Arial" w:cs="Arial"/>
          <w:color w:val="000000"/>
        </w:rPr>
        <w:t>o motivo determinante para o CJF legislar sobre direito processual de forma atípica e inconstitucional;</w:t>
      </w:r>
    </w:p>
    <w:p w:rsidR="00B556DD" w:rsidRDefault="00B556DD" w:rsidP="00B556DD">
      <w:pPr>
        <w:tabs>
          <w:tab w:val="left" w:pos="420"/>
          <w:tab w:val="left" w:pos="780"/>
        </w:tabs>
        <w:suppressAutoHyphens/>
        <w:ind w:left="420"/>
        <w:jc w:val="both"/>
        <w:rPr>
          <w:rFonts w:ascii="Arial" w:eastAsia="HG Mincho Light J" w:hAnsi="Arial" w:cs="Arial"/>
          <w:color w:val="000000"/>
        </w:rPr>
      </w:pPr>
    </w:p>
    <w:p w:rsidR="00486F5B" w:rsidRPr="00586369" w:rsidRDefault="003E63D2" w:rsidP="00D70A90">
      <w:pPr>
        <w:numPr>
          <w:ilvl w:val="0"/>
          <w:numId w:val="16"/>
        </w:numPr>
        <w:tabs>
          <w:tab w:val="clear" w:pos="360"/>
          <w:tab w:val="num" w:pos="0"/>
          <w:tab w:val="left" w:pos="420"/>
          <w:tab w:val="left" w:pos="780"/>
        </w:tabs>
        <w:suppressAutoHyphens/>
        <w:ind w:left="420"/>
        <w:jc w:val="both"/>
        <w:rPr>
          <w:rFonts w:ascii="Arial" w:eastAsia="HG Mincho Light J" w:hAnsi="Arial" w:cs="Arial"/>
          <w:color w:val="000000"/>
        </w:rPr>
      </w:pPr>
      <w:r>
        <w:rPr>
          <w:rFonts w:ascii="Arial" w:eastAsia="HG Mincho Light J" w:hAnsi="Arial" w:cs="Arial"/>
          <w:color w:val="000000"/>
        </w:rPr>
        <w:t xml:space="preserve">Seja dado provimento ao presente </w:t>
      </w:r>
      <w:r>
        <w:rPr>
          <w:rFonts w:ascii="Arial" w:eastAsia="HG Mincho Light J" w:hAnsi="Arial" w:cs="Arial"/>
          <w:b/>
          <w:color w:val="000000"/>
        </w:rPr>
        <w:t xml:space="preserve">Incidente de Resolução de Demandas Repetitivas </w:t>
      </w:r>
      <w:r w:rsidR="00486F5B" w:rsidRPr="001B5C7A">
        <w:rPr>
          <w:rFonts w:ascii="Arial" w:eastAsia="HG Mincho Light J" w:hAnsi="Arial" w:cs="Arial"/>
          <w:b/>
          <w:color w:val="000000"/>
        </w:rPr>
        <w:t>para fixação das teses abaixo transcritas</w:t>
      </w:r>
      <w:r w:rsidR="00B556DD">
        <w:rPr>
          <w:rFonts w:ascii="Arial" w:eastAsia="HG Mincho Light J" w:hAnsi="Arial" w:cs="Arial"/>
          <w:color w:val="000000"/>
        </w:rPr>
        <w:t xml:space="preserve"> ( porquanto se relacionam a uma mesma matéria processual e de direito, porém com incidências diversas no curso dos processos)</w:t>
      </w:r>
      <w:r w:rsidR="00486F5B" w:rsidRPr="00D70A90">
        <w:rPr>
          <w:rFonts w:ascii="Arial" w:eastAsia="HG Mincho Light J" w:hAnsi="Arial" w:cs="Arial"/>
          <w:color w:val="000000"/>
        </w:rPr>
        <w:t xml:space="preserve">, </w:t>
      </w:r>
      <w:r w:rsidR="006176E6" w:rsidRPr="00D70A90">
        <w:rPr>
          <w:rFonts w:ascii="Arial" w:eastAsia="HG Mincho Light J" w:hAnsi="Arial" w:cs="Arial"/>
          <w:color w:val="000000"/>
        </w:rPr>
        <w:t xml:space="preserve">com a ampla divulgação para aplicação das referidas teses a </w:t>
      </w:r>
      <w:r w:rsidR="00486F5B" w:rsidRPr="00D70A90">
        <w:rPr>
          <w:rFonts w:ascii="Arial" w:hAnsi="Arial" w:cs="Arial"/>
        </w:rPr>
        <w:t xml:space="preserve">todos os processos individuais ou coletivos que versem sobre idêntica questão de direito e que tramitem na área de jurisdição do </w:t>
      </w:r>
      <w:r w:rsidR="006176E6" w:rsidRPr="00D70A90">
        <w:rPr>
          <w:rFonts w:ascii="Arial" w:hAnsi="Arial" w:cs="Arial"/>
        </w:rPr>
        <w:t>TRF1</w:t>
      </w:r>
      <w:r w:rsidR="00486F5B" w:rsidRPr="00D70A90">
        <w:rPr>
          <w:rFonts w:ascii="Arial" w:hAnsi="Arial" w:cs="Arial"/>
        </w:rPr>
        <w:t>, inclusive àqueles que tramitem nos juizados especiais</w:t>
      </w:r>
      <w:r w:rsidR="006176E6" w:rsidRPr="00D70A90">
        <w:rPr>
          <w:rFonts w:ascii="Arial" w:hAnsi="Arial" w:cs="Arial"/>
        </w:rPr>
        <w:t xml:space="preserve"> Federais</w:t>
      </w:r>
      <w:r w:rsidR="00D70A90" w:rsidRPr="00D70A90">
        <w:rPr>
          <w:rFonts w:ascii="Arial" w:hAnsi="Arial" w:cs="Arial"/>
        </w:rPr>
        <w:t xml:space="preserve"> , bem como aos </w:t>
      </w:r>
      <w:bookmarkStart w:id="4" w:name="art985ii"/>
      <w:bookmarkEnd w:id="4"/>
      <w:r w:rsidR="00486F5B" w:rsidRPr="00D70A90">
        <w:rPr>
          <w:rFonts w:ascii="Arial" w:hAnsi="Arial" w:cs="Arial"/>
        </w:rPr>
        <w:t xml:space="preserve"> casos futuros que versem idêntica questão de direito e que venham a tramitar no território de competência do tribunal</w:t>
      </w:r>
      <w:r w:rsidR="00D70A90">
        <w:rPr>
          <w:rFonts w:ascii="Arial" w:hAnsi="Arial" w:cs="Arial"/>
        </w:rPr>
        <w:t xml:space="preserve">: </w:t>
      </w:r>
    </w:p>
    <w:p w:rsidR="00586369" w:rsidRDefault="00586369" w:rsidP="00586369">
      <w:pPr>
        <w:pStyle w:val="PargrafodaLista"/>
        <w:rPr>
          <w:rFonts w:ascii="Arial" w:eastAsia="HG Mincho Light J" w:hAnsi="Arial" w:cs="Arial"/>
          <w:color w:val="000000"/>
        </w:rPr>
      </w:pPr>
    </w:p>
    <w:p w:rsidR="00586369" w:rsidRPr="00B556DD" w:rsidRDefault="00586369" w:rsidP="00586369">
      <w:pPr>
        <w:tabs>
          <w:tab w:val="left" w:pos="420"/>
          <w:tab w:val="left" w:pos="780"/>
        </w:tabs>
        <w:suppressAutoHyphens/>
        <w:ind w:left="420"/>
        <w:jc w:val="both"/>
        <w:rPr>
          <w:rFonts w:ascii="Arial" w:eastAsia="HG Mincho Light J" w:hAnsi="Arial" w:cs="Arial"/>
          <w:color w:val="000000"/>
        </w:rPr>
      </w:pPr>
      <w:bookmarkStart w:id="5" w:name="_GoBack"/>
      <w:bookmarkEnd w:id="5"/>
    </w:p>
    <w:tbl>
      <w:tblPr>
        <w:tblStyle w:val="Tabelacomgrade"/>
        <w:tblW w:w="0" w:type="auto"/>
        <w:tblInd w:w="1271" w:type="dxa"/>
        <w:tblLook w:val="04A0" w:firstRow="1" w:lastRow="0" w:firstColumn="1" w:lastColumn="0" w:noHBand="0" w:noVBand="1"/>
      </w:tblPr>
      <w:tblGrid>
        <w:gridCol w:w="7791"/>
      </w:tblGrid>
      <w:tr w:rsidR="00F10E39" w:rsidTr="003E63D2">
        <w:tc>
          <w:tcPr>
            <w:tcW w:w="7791" w:type="dxa"/>
          </w:tcPr>
          <w:p w:rsidR="00F10E39" w:rsidRPr="006311AB" w:rsidRDefault="0068069D" w:rsidP="0068069D">
            <w:pPr>
              <w:tabs>
                <w:tab w:val="left" w:pos="720"/>
              </w:tabs>
              <w:spacing w:line="240" w:lineRule="auto"/>
              <w:ind w:left="176"/>
              <w:jc w:val="both"/>
              <w:rPr>
                <w:rFonts w:ascii="Arial" w:eastAsia="HG Mincho Light J" w:hAnsi="Arial" w:cs="Arial"/>
                <w:i/>
                <w:color w:val="000000"/>
                <w:sz w:val="22"/>
                <w:szCs w:val="22"/>
              </w:rPr>
            </w:pPr>
            <w:proofErr w:type="gramStart"/>
            <w:r w:rsidRPr="006311AB">
              <w:rPr>
                <w:rFonts w:ascii="Arial" w:eastAsia="HG Mincho Light J" w:hAnsi="Arial" w:cs="Arial"/>
                <w:i/>
                <w:color w:val="000000"/>
                <w:sz w:val="22"/>
                <w:szCs w:val="22"/>
              </w:rPr>
              <w:t>6.1.</w:t>
            </w:r>
            <w:r w:rsidR="00F10E39" w:rsidRPr="006311AB">
              <w:rPr>
                <w:rFonts w:ascii="Arial" w:eastAsia="HG Mincho Light J" w:hAnsi="Arial" w:cs="Arial"/>
                <w:i/>
                <w:color w:val="000000"/>
                <w:sz w:val="22"/>
                <w:szCs w:val="22"/>
              </w:rPr>
              <w:t>“</w:t>
            </w:r>
            <w:proofErr w:type="gramEnd"/>
            <w:r w:rsidR="00F10E39" w:rsidRPr="006311AB">
              <w:rPr>
                <w:rFonts w:ascii="Arial" w:eastAsia="HG Mincho Light J" w:hAnsi="Arial" w:cs="Arial"/>
                <w:i/>
                <w:color w:val="000000"/>
                <w:sz w:val="22"/>
                <w:szCs w:val="22"/>
              </w:rPr>
              <w:t xml:space="preserve">Nos processos previdenciários relacionados a benefícios rurais, </w:t>
            </w:r>
            <w:r w:rsidR="00F10E39" w:rsidRPr="006311AB">
              <w:rPr>
                <w:rFonts w:ascii="Arial" w:eastAsia="HG Mincho Light J" w:hAnsi="Arial" w:cs="Arial"/>
                <w:b/>
                <w:i/>
                <w:color w:val="000000"/>
                <w:sz w:val="22"/>
                <w:szCs w:val="22"/>
              </w:rPr>
              <w:t>existindo documentos nos autos (mesmo que seja um apenas), considerados como início de prova material, mesmo que não sejam contemporâneos ao período de carência do benefício, devem ser tratados no plano da existência,  por conseguinte, inaplicável a súmula 149 do STJ a estes casos</w:t>
            </w:r>
            <w:r w:rsidR="00F10E39" w:rsidRPr="006311AB">
              <w:rPr>
                <w:rFonts w:ascii="Arial" w:eastAsia="HG Mincho Light J" w:hAnsi="Arial" w:cs="Arial"/>
                <w:i/>
                <w:color w:val="000000"/>
                <w:sz w:val="22"/>
                <w:szCs w:val="22"/>
              </w:rPr>
              <w:t xml:space="preserve">.” </w:t>
            </w:r>
          </w:p>
          <w:p w:rsidR="00F10E39" w:rsidRPr="006311AB" w:rsidRDefault="00F10E39" w:rsidP="003E63D2">
            <w:pPr>
              <w:tabs>
                <w:tab w:val="left" w:pos="720"/>
              </w:tabs>
              <w:spacing w:line="240" w:lineRule="auto"/>
              <w:ind w:left="176"/>
              <w:jc w:val="both"/>
              <w:rPr>
                <w:rFonts w:ascii="Arial" w:eastAsia="HG Mincho Light J" w:hAnsi="Arial" w:cs="Arial"/>
                <w:i/>
                <w:color w:val="000000"/>
                <w:sz w:val="22"/>
                <w:szCs w:val="22"/>
              </w:rPr>
            </w:pPr>
          </w:p>
          <w:p w:rsidR="00F10E39" w:rsidRPr="006311AB" w:rsidRDefault="0068069D" w:rsidP="003E63D2">
            <w:pPr>
              <w:tabs>
                <w:tab w:val="left" w:pos="720"/>
              </w:tabs>
              <w:spacing w:line="240" w:lineRule="auto"/>
              <w:ind w:left="176"/>
              <w:jc w:val="both"/>
              <w:rPr>
                <w:rFonts w:ascii="Arial" w:hAnsi="Arial" w:cs="Arial"/>
                <w:sz w:val="22"/>
                <w:szCs w:val="22"/>
              </w:rPr>
            </w:pPr>
            <w:r w:rsidRPr="006311AB">
              <w:rPr>
                <w:rFonts w:ascii="Arial" w:eastAsia="HG Mincho Light J" w:hAnsi="Arial" w:cs="Arial"/>
                <w:i/>
                <w:color w:val="000000"/>
                <w:sz w:val="22"/>
                <w:szCs w:val="22"/>
              </w:rPr>
              <w:t xml:space="preserve">6.2. </w:t>
            </w:r>
            <w:r w:rsidR="00F10E39" w:rsidRPr="006311AB">
              <w:rPr>
                <w:rFonts w:ascii="Arial" w:eastAsia="HG Mincho Light J" w:hAnsi="Arial" w:cs="Arial"/>
                <w:i/>
                <w:color w:val="000000"/>
                <w:sz w:val="22"/>
                <w:szCs w:val="22"/>
              </w:rPr>
              <w:t xml:space="preserve">“No mesmo sentido, não se pode inadmitir recursos admissíveis sob argumentos desconexos da realidade dos autos e que não se adequam ao caso, em observância ao </w:t>
            </w:r>
            <w:r w:rsidR="00F10E39" w:rsidRPr="006311AB">
              <w:rPr>
                <w:rFonts w:ascii="Arial" w:hAnsi="Arial" w:cs="Arial"/>
                <w:b/>
                <w:i/>
                <w:sz w:val="22"/>
                <w:szCs w:val="22"/>
              </w:rPr>
              <w:t>art. 489, V, do NCPC</w:t>
            </w:r>
            <w:r w:rsidR="00F10E39" w:rsidRPr="006311AB">
              <w:rPr>
                <w:rFonts w:ascii="Arial" w:hAnsi="Arial" w:cs="Arial"/>
                <w:i/>
                <w:sz w:val="22"/>
                <w:szCs w:val="22"/>
              </w:rPr>
              <w:t xml:space="preserve">, o qual normatiza que </w:t>
            </w:r>
            <w:r w:rsidR="00F10E39" w:rsidRPr="006311AB">
              <w:rPr>
                <w:rFonts w:ascii="Arial" w:hAnsi="Arial" w:cs="Arial"/>
                <w:b/>
                <w:i/>
                <w:sz w:val="22"/>
                <w:szCs w:val="22"/>
              </w:rPr>
              <w:t xml:space="preserve">o juiz não pode se se limitar a invocar precedente ou enunciado de súmula, </w:t>
            </w:r>
            <w:r w:rsidR="00F10E39" w:rsidRPr="006311AB">
              <w:rPr>
                <w:rFonts w:ascii="Arial" w:hAnsi="Arial" w:cs="Arial"/>
                <w:b/>
                <w:i/>
                <w:sz w:val="22"/>
                <w:szCs w:val="22"/>
              </w:rPr>
              <w:lastRenderedPageBreak/>
              <w:t>sem identificar seus fundamentos determinantes nem demonstrar que o caso sob julgamento se ajusta àqueles fundamentos</w:t>
            </w:r>
            <w:r w:rsidR="00F10E39" w:rsidRPr="006311AB">
              <w:rPr>
                <w:rFonts w:ascii="Arial" w:hAnsi="Arial" w:cs="Arial"/>
                <w:i/>
                <w:sz w:val="22"/>
                <w:szCs w:val="22"/>
              </w:rPr>
              <w:t>.”</w:t>
            </w:r>
          </w:p>
          <w:p w:rsidR="00F10E39" w:rsidRPr="006311AB" w:rsidRDefault="00F10E39" w:rsidP="003E63D2">
            <w:pPr>
              <w:tabs>
                <w:tab w:val="left" w:pos="720"/>
              </w:tabs>
              <w:spacing w:line="240" w:lineRule="auto"/>
              <w:ind w:left="176"/>
              <w:jc w:val="both"/>
              <w:rPr>
                <w:rFonts w:ascii="Arial" w:eastAsia="HG Mincho Light J" w:hAnsi="Arial" w:cs="Arial"/>
                <w:i/>
                <w:color w:val="000000"/>
                <w:sz w:val="22"/>
                <w:szCs w:val="22"/>
              </w:rPr>
            </w:pPr>
          </w:p>
          <w:p w:rsidR="00F10E39" w:rsidRPr="006311AB" w:rsidRDefault="0068069D" w:rsidP="003E63D2">
            <w:pPr>
              <w:tabs>
                <w:tab w:val="left" w:pos="720"/>
              </w:tabs>
              <w:spacing w:line="240" w:lineRule="auto"/>
              <w:ind w:left="176"/>
              <w:jc w:val="both"/>
              <w:rPr>
                <w:rFonts w:ascii="Arial" w:hAnsi="Arial" w:cs="Arial"/>
                <w:sz w:val="22"/>
                <w:szCs w:val="22"/>
              </w:rPr>
            </w:pPr>
            <w:r w:rsidRPr="006311AB">
              <w:rPr>
                <w:rFonts w:ascii="Arial" w:eastAsia="HG Mincho Light J" w:hAnsi="Arial" w:cs="Arial"/>
                <w:i/>
                <w:color w:val="000000"/>
                <w:sz w:val="22"/>
                <w:szCs w:val="22"/>
              </w:rPr>
              <w:t xml:space="preserve">6.3. </w:t>
            </w:r>
            <w:r w:rsidR="00F10E39" w:rsidRPr="006311AB">
              <w:rPr>
                <w:rFonts w:ascii="Arial" w:eastAsia="HG Mincho Light J" w:hAnsi="Arial" w:cs="Arial"/>
                <w:i/>
                <w:color w:val="000000"/>
                <w:sz w:val="22"/>
                <w:szCs w:val="22"/>
              </w:rPr>
              <w:t xml:space="preserve">“Nos benefícios relacionados a trabalhadores rurais </w:t>
            </w:r>
            <w:r w:rsidR="00F10E39" w:rsidRPr="006311AB">
              <w:rPr>
                <w:rFonts w:ascii="Arial" w:eastAsia="HG Mincho Light J" w:hAnsi="Arial" w:cs="Arial"/>
                <w:b/>
                <w:i/>
                <w:color w:val="000000"/>
                <w:sz w:val="22"/>
                <w:szCs w:val="22"/>
              </w:rPr>
              <w:t>em que a controvérsia probatória se refira a documentos considerados</w:t>
            </w:r>
            <w:r w:rsidR="00390EE2" w:rsidRPr="006311AB">
              <w:rPr>
                <w:rFonts w:ascii="Arial" w:eastAsia="HG Mincho Light J" w:hAnsi="Arial" w:cs="Arial"/>
                <w:b/>
                <w:i/>
                <w:color w:val="000000"/>
                <w:sz w:val="22"/>
                <w:szCs w:val="22"/>
              </w:rPr>
              <w:t xml:space="preserve"> ou </w:t>
            </w:r>
            <w:r w:rsidR="00AB423B" w:rsidRPr="006311AB">
              <w:rPr>
                <w:rFonts w:ascii="Arial" w:eastAsia="HG Mincho Light J" w:hAnsi="Arial" w:cs="Arial"/>
                <w:b/>
                <w:i/>
                <w:color w:val="000000"/>
                <w:sz w:val="22"/>
                <w:szCs w:val="22"/>
              </w:rPr>
              <w:t>não início</w:t>
            </w:r>
            <w:r w:rsidR="00F10E39" w:rsidRPr="006311AB">
              <w:rPr>
                <w:rFonts w:ascii="Arial" w:eastAsia="HG Mincho Light J" w:hAnsi="Arial" w:cs="Arial"/>
                <w:b/>
                <w:i/>
                <w:color w:val="000000"/>
                <w:sz w:val="22"/>
                <w:szCs w:val="22"/>
              </w:rPr>
              <w:t xml:space="preserve"> de prova material,</w:t>
            </w:r>
            <w:r w:rsidR="00F10E39" w:rsidRPr="006311AB">
              <w:rPr>
                <w:rFonts w:ascii="Arial" w:eastAsia="HG Mincho Light J" w:hAnsi="Arial" w:cs="Arial"/>
                <w:i/>
                <w:color w:val="000000"/>
                <w:sz w:val="22"/>
                <w:szCs w:val="22"/>
              </w:rPr>
              <w:t xml:space="preserve"> </w:t>
            </w:r>
            <w:r w:rsidR="00F10E39" w:rsidRPr="006311AB">
              <w:rPr>
                <w:rFonts w:ascii="Arial" w:eastAsia="HG Mincho Light J" w:hAnsi="Arial" w:cs="Arial"/>
                <w:b/>
                <w:i/>
                <w:color w:val="000000"/>
                <w:sz w:val="22"/>
                <w:szCs w:val="22"/>
              </w:rPr>
              <w:t>não se aplica a sumula 42 da TNU para inadmitir Incidentes de Uniformização</w:t>
            </w:r>
            <w:r w:rsidR="00F10E39" w:rsidRPr="006311AB">
              <w:rPr>
                <w:rFonts w:ascii="Arial" w:eastAsia="HG Mincho Light J" w:hAnsi="Arial" w:cs="Arial"/>
                <w:i/>
                <w:color w:val="000000"/>
                <w:sz w:val="22"/>
                <w:szCs w:val="22"/>
              </w:rPr>
              <w:t xml:space="preserve">, já que, nesses casos, </w:t>
            </w:r>
            <w:r w:rsidR="00F10E39" w:rsidRPr="006311AB">
              <w:rPr>
                <w:rFonts w:ascii="Arial" w:hAnsi="Arial" w:cs="Arial"/>
                <w:sz w:val="22"/>
                <w:szCs w:val="22"/>
              </w:rPr>
              <w:t>não se está diante de reexame da prova em si, mas de mero exame da conformidade da interpretação dada pela Turma Recursal à lei federal quanto aos critérios jurídicos adotados para valoração desta. Entendimento sedimentado no âmbito do STJ e desta Turma de Uniformização”</w:t>
            </w:r>
          </w:p>
          <w:p w:rsidR="00BB33B3" w:rsidRPr="006311AB" w:rsidRDefault="00BB33B3" w:rsidP="003E63D2">
            <w:pPr>
              <w:tabs>
                <w:tab w:val="left" w:pos="720"/>
              </w:tabs>
              <w:spacing w:line="240" w:lineRule="auto"/>
              <w:ind w:left="176"/>
              <w:jc w:val="both"/>
              <w:rPr>
                <w:rFonts w:ascii="Arial" w:eastAsia="HG Mincho Light J" w:hAnsi="Arial" w:cs="Arial"/>
                <w:i/>
                <w:color w:val="000000"/>
                <w:sz w:val="22"/>
                <w:szCs w:val="22"/>
              </w:rPr>
            </w:pPr>
          </w:p>
          <w:p w:rsidR="00BB33B3" w:rsidRDefault="0068069D" w:rsidP="00CE4A67">
            <w:pPr>
              <w:tabs>
                <w:tab w:val="left" w:pos="720"/>
              </w:tabs>
              <w:spacing w:line="240" w:lineRule="auto"/>
              <w:ind w:left="176"/>
              <w:jc w:val="both"/>
              <w:rPr>
                <w:rFonts w:ascii="Arial" w:eastAsia="HG Mincho Light J" w:hAnsi="Arial" w:cs="Arial"/>
                <w:color w:val="000000"/>
              </w:rPr>
            </w:pPr>
            <w:r w:rsidRPr="006311AB">
              <w:rPr>
                <w:rFonts w:ascii="Arial" w:eastAsia="HG Mincho Light J" w:hAnsi="Arial" w:cs="Arial"/>
                <w:i/>
                <w:color w:val="000000"/>
                <w:sz w:val="22"/>
                <w:szCs w:val="22"/>
              </w:rPr>
              <w:t xml:space="preserve">6.4. </w:t>
            </w:r>
            <w:r w:rsidR="00B07B80" w:rsidRPr="006311AB">
              <w:rPr>
                <w:rFonts w:ascii="Arial" w:eastAsia="HG Mincho Light J" w:hAnsi="Arial" w:cs="Arial"/>
                <w:i/>
                <w:color w:val="000000"/>
                <w:sz w:val="22"/>
                <w:szCs w:val="22"/>
              </w:rPr>
              <w:t>“</w:t>
            </w:r>
            <w:r w:rsidR="00BB33B3" w:rsidRPr="006311AB">
              <w:rPr>
                <w:rFonts w:ascii="Arial" w:eastAsia="HG Mincho Light J" w:hAnsi="Arial" w:cs="Arial"/>
                <w:b/>
                <w:i/>
                <w:color w:val="000000"/>
                <w:sz w:val="22"/>
                <w:szCs w:val="22"/>
              </w:rPr>
              <w:t xml:space="preserve">Não se aplica a sumula 54 da TNU aos casos em que o inicio de prova material for relativo a data longínqua </w:t>
            </w:r>
            <w:r w:rsidR="00EF69EF" w:rsidRPr="006311AB">
              <w:rPr>
                <w:rFonts w:ascii="Arial" w:eastAsia="HG Mincho Light J" w:hAnsi="Arial" w:cs="Arial"/>
                <w:b/>
                <w:i/>
                <w:color w:val="000000"/>
                <w:sz w:val="22"/>
                <w:szCs w:val="22"/>
              </w:rPr>
              <w:t>(</w:t>
            </w:r>
            <w:r w:rsidR="00B07B80" w:rsidRPr="006311AB">
              <w:rPr>
                <w:rFonts w:ascii="Arial" w:eastAsia="HG Mincho Light J" w:hAnsi="Arial" w:cs="Arial"/>
                <w:b/>
                <w:i/>
                <w:color w:val="000000"/>
                <w:sz w:val="22"/>
                <w:szCs w:val="22"/>
              </w:rPr>
              <w:t>período distante</w:t>
            </w:r>
            <w:r w:rsidR="00BB33B3" w:rsidRPr="006311AB">
              <w:rPr>
                <w:rFonts w:ascii="Arial" w:eastAsia="HG Mincho Light J" w:hAnsi="Arial" w:cs="Arial"/>
                <w:b/>
                <w:i/>
                <w:color w:val="000000"/>
                <w:sz w:val="22"/>
                <w:szCs w:val="22"/>
              </w:rPr>
              <w:t xml:space="preserve"> do período de carência)</w:t>
            </w:r>
            <w:r w:rsidR="00CE4A67" w:rsidRPr="006311AB">
              <w:rPr>
                <w:rFonts w:ascii="Arial" w:eastAsia="HG Mincho Light J" w:hAnsi="Arial" w:cs="Arial"/>
                <w:b/>
                <w:i/>
                <w:color w:val="000000"/>
                <w:sz w:val="22"/>
                <w:szCs w:val="22"/>
              </w:rPr>
              <w:t xml:space="preserve"> ao período imediatamente anterior ao requerimento do benefício ou ao implemento da idade</w:t>
            </w:r>
            <w:r w:rsidR="00BB33B3" w:rsidRPr="006311AB">
              <w:rPr>
                <w:rFonts w:ascii="Arial" w:eastAsia="HG Mincho Light J" w:hAnsi="Arial" w:cs="Arial"/>
                <w:b/>
                <w:i/>
                <w:color w:val="000000"/>
                <w:sz w:val="22"/>
                <w:szCs w:val="22"/>
              </w:rPr>
              <w:t xml:space="preserve">, mas sua eficácia temporal for </w:t>
            </w:r>
            <w:r w:rsidR="00EF69EF" w:rsidRPr="006311AB">
              <w:rPr>
                <w:rFonts w:ascii="Arial" w:eastAsia="HG Mincho Light J" w:hAnsi="Arial" w:cs="Arial"/>
                <w:b/>
                <w:i/>
                <w:color w:val="000000"/>
                <w:sz w:val="22"/>
                <w:szCs w:val="22"/>
              </w:rPr>
              <w:t xml:space="preserve">ampliada por firme prova </w:t>
            </w:r>
            <w:r w:rsidR="003E49EE" w:rsidRPr="006311AB">
              <w:rPr>
                <w:rFonts w:ascii="Arial" w:eastAsia="HG Mincho Light J" w:hAnsi="Arial" w:cs="Arial"/>
                <w:b/>
                <w:i/>
                <w:color w:val="000000"/>
                <w:sz w:val="22"/>
                <w:szCs w:val="22"/>
              </w:rPr>
              <w:t>testemunhal</w:t>
            </w:r>
            <w:r w:rsidR="003E49EE" w:rsidRPr="006311AB">
              <w:rPr>
                <w:rFonts w:ascii="Arial" w:eastAsia="HG Mincho Light J" w:hAnsi="Arial" w:cs="Arial"/>
                <w:i/>
                <w:color w:val="000000"/>
                <w:sz w:val="22"/>
                <w:szCs w:val="22"/>
              </w:rPr>
              <w:t>,</w:t>
            </w:r>
            <w:r w:rsidR="00B07B80" w:rsidRPr="006311AB">
              <w:rPr>
                <w:rFonts w:ascii="Arial" w:eastAsia="HG Mincho Light J" w:hAnsi="Arial" w:cs="Arial"/>
                <w:i/>
                <w:color w:val="000000"/>
                <w:sz w:val="22"/>
                <w:szCs w:val="22"/>
              </w:rPr>
              <w:t xml:space="preserve"> a teor dos</w:t>
            </w:r>
            <w:r w:rsidR="003E49EE" w:rsidRPr="006311AB">
              <w:rPr>
                <w:rFonts w:ascii="Arial" w:eastAsia="HG Mincho Light J" w:hAnsi="Arial" w:cs="Arial"/>
                <w:i/>
                <w:color w:val="000000"/>
                <w:sz w:val="22"/>
                <w:szCs w:val="22"/>
              </w:rPr>
              <w:t xml:space="preserve"> inúmeros</w:t>
            </w:r>
            <w:r w:rsidR="00B07B80" w:rsidRPr="006311AB">
              <w:rPr>
                <w:rFonts w:ascii="Arial" w:eastAsia="HG Mincho Light J" w:hAnsi="Arial" w:cs="Arial"/>
                <w:i/>
                <w:color w:val="000000"/>
                <w:sz w:val="22"/>
                <w:szCs w:val="22"/>
              </w:rPr>
              <w:t xml:space="preserve"> precedentes </w:t>
            </w:r>
            <w:r w:rsidR="003E49EE" w:rsidRPr="006311AB">
              <w:rPr>
                <w:rFonts w:ascii="Arial" w:eastAsia="HG Mincho Light J" w:hAnsi="Arial" w:cs="Arial"/>
                <w:i/>
                <w:color w:val="000000"/>
                <w:sz w:val="22"/>
                <w:szCs w:val="22"/>
              </w:rPr>
              <w:t>da TNU, do STJ e deste Tribunal. Qualquer decisão que aplicar a sumula 54 da TNU deve relacioná-la as circunstâncias fáticas e probatórias especificas em observância ao art. 489, V, do NCPC.</w:t>
            </w:r>
            <w:r w:rsidR="00CE4A67" w:rsidRPr="006311AB">
              <w:rPr>
                <w:rFonts w:ascii="Arial" w:eastAsia="HG Mincho Light J" w:hAnsi="Arial" w:cs="Arial"/>
                <w:i/>
                <w:color w:val="000000"/>
                <w:sz w:val="22"/>
                <w:szCs w:val="22"/>
              </w:rPr>
              <w:t>”</w:t>
            </w:r>
          </w:p>
        </w:tc>
      </w:tr>
    </w:tbl>
    <w:p w:rsidR="00486F5B" w:rsidRPr="00A31A04" w:rsidRDefault="00486F5B" w:rsidP="00F10E39">
      <w:pPr>
        <w:tabs>
          <w:tab w:val="left" w:pos="420"/>
          <w:tab w:val="left" w:pos="780"/>
        </w:tabs>
        <w:suppressAutoHyphens/>
        <w:spacing w:line="240" w:lineRule="auto"/>
        <w:ind w:left="420"/>
        <w:jc w:val="both"/>
        <w:rPr>
          <w:rFonts w:ascii="Arial" w:eastAsia="HG Mincho Light J" w:hAnsi="Arial" w:cs="Arial"/>
          <w:color w:val="000000"/>
        </w:rPr>
      </w:pPr>
    </w:p>
    <w:p w:rsidR="00C52B8B" w:rsidRPr="00A31A04" w:rsidRDefault="00C52B8B" w:rsidP="00F10E39">
      <w:pPr>
        <w:tabs>
          <w:tab w:val="left" w:pos="1215"/>
          <w:tab w:val="left" w:pos="1575"/>
        </w:tabs>
        <w:spacing w:line="240" w:lineRule="auto"/>
        <w:ind w:left="1215"/>
        <w:jc w:val="both"/>
        <w:rPr>
          <w:rFonts w:ascii="Arial" w:eastAsia="HG Mincho Light J" w:hAnsi="Arial" w:cs="Arial"/>
          <w:color w:val="000000"/>
        </w:rPr>
      </w:pPr>
    </w:p>
    <w:p w:rsidR="00C52B8B" w:rsidRDefault="003E63D2" w:rsidP="003E63D2">
      <w:pPr>
        <w:pStyle w:val="PargrafodaLista"/>
        <w:numPr>
          <w:ilvl w:val="0"/>
          <w:numId w:val="16"/>
        </w:numPr>
        <w:tabs>
          <w:tab w:val="left" w:pos="851"/>
        </w:tabs>
        <w:suppressAutoHyphens/>
        <w:jc w:val="both"/>
        <w:rPr>
          <w:rFonts w:ascii="Arial" w:hAnsi="Arial" w:cs="Arial"/>
          <w:color w:val="000000"/>
          <w:shd w:val="clear" w:color="auto" w:fill="FFFFFF"/>
        </w:rPr>
      </w:pPr>
      <w:r>
        <w:rPr>
          <w:rFonts w:ascii="Arial" w:hAnsi="Arial" w:cs="Arial"/>
          <w:color w:val="000000"/>
          <w:shd w:val="clear" w:color="auto" w:fill="FFFFFF"/>
        </w:rPr>
        <w:t xml:space="preserve">Seja o recurso pendente no feito </w:t>
      </w:r>
      <w:r w:rsidRPr="00CF4387">
        <w:rPr>
          <w:rFonts w:ascii="Arial" w:hAnsi="Arial" w:cs="Arial"/>
          <w:b/>
          <w:color w:val="000000"/>
          <w:shd w:val="clear" w:color="auto" w:fill="FFFFFF"/>
        </w:rPr>
        <w:t>originário julgado por esta Corte</w:t>
      </w:r>
      <w:r>
        <w:rPr>
          <w:rFonts w:ascii="Arial" w:hAnsi="Arial" w:cs="Arial"/>
          <w:color w:val="000000"/>
          <w:shd w:val="clear" w:color="auto" w:fill="FFFFFF"/>
        </w:rPr>
        <w:t xml:space="preserve">, nos termos do parágrafo único do art. 978, §único do </w:t>
      </w:r>
      <w:r w:rsidR="00B556DD">
        <w:rPr>
          <w:rFonts w:ascii="Arial" w:hAnsi="Arial" w:cs="Arial"/>
          <w:color w:val="000000"/>
          <w:shd w:val="clear" w:color="auto" w:fill="FFFFFF"/>
        </w:rPr>
        <w:t>NCPC,</w:t>
      </w:r>
      <w:r w:rsidR="006644F4">
        <w:rPr>
          <w:rFonts w:ascii="Arial" w:hAnsi="Arial" w:cs="Arial"/>
          <w:color w:val="000000"/>
          <w:shd w:val="clear" w:color="auto" w:fill="FFFFFF"/>
        </w:rPr>
        <w:t xml:space="preserve"> já que tal mandamento é expresso no novo CPC, razão pela qual, fica </w:t>
      </w:r>
      <w:r w:rsidR="006644F4" w:rsidRPr="0068069D">
        <w:rPr>
          <w:rFonts w:ascii="Arial" w:hAnsi="Arial" w:cs="Arial"/>
          <w:b/>
          <w:color w:val="000000"/>
          <w:shd w:val="clear" w:color="auto" w:fill="FFFFFF"/>
        </w:rPr>
        <w:t>desde já prequestionado este dispositivo</w:t>
      </w:r>
      <w:r w:rsidR="00376A0A">
        <w:rPr>
          <w:rFonts w:ascii="Arial" w:hAnsi="Arial" w:cs="Arial"/>
          <w:color w:val="000000"/>
          <w:shd w:val="clear" w:color="auto" w:fill="FFFFFF"/>
        </w:rPr>
        <w:t>, para que este Tribunal se manifeste fundamentadamente sobre sua aplicação;</w:t>
      </w:r>
      <w:r w:rsidR="00C52B8B" w:rsidRPr="003E63D2">
        <w:rPr>
          <w:rFonts w:ascii="Arial" w:hAnsi="Arial" w:cs="Arial"/>
          <w:color w:val="000000"/>
          <w:shd w:val="clear" w:color="auto" w:fill="FFFFFF"/>
        </w:rPr>
        <w:t xml:space="preserve"> </w:t>
      </w:r>
    </w:p>
    <w:p w:rsidR="006311AB" w:rsidRDefault="006311AB" w:rsidP="006311AB">
      <w:pPr>
        <w:pStyle w:val="NormalWeb"/>
        <w:numPr>
          <w:ilvl w:val="0"/>
          <w:numId w:val="16"/>
        </w:numPr>
        <w:spacing w:before="0" w:beforeAutospacing="0" w:after="0" w:afterAutospacing="0" w:line="330" w:lineRule="atLeast"/>
        <w:jc w:val="both"/>
        <w:rPr>
          <w:rStyle w:val="Forte"/>
          <w:rFonts w:ascii="Arial" w:hAnsi="Arial" w:cs="Arial"/>
          <w:b w:val="0"/>
          <w:color w:val="000000" w:themeColor="text1"/>
        </w:rPr>
      </w:pPr>
      <w:r w:rsidRPr="00CA121E">
        <w:rPr>
          <w:rStyle w:val="Forte"/>
          <w:rFonts w:ascii="Arial" w:hAnsi="Arial" w:cs="Arial"/>
          <w:b w:val="0"/>
          <w:color w:val="000000" w:themeColor="text1"/>
        </w:rPr>
        <w:t xml:space="preserve">Seja </w:t>
      </w:r>
      <w:r w:rsidRPr="00641C60">
        <w:rPr>
          <w:rStyle w:val="Forte"/>
          <w:rFonts w:ascii="Arial" w:hAnsi="Arial" w:cs="Arial"/>
          <w:color w:val="000000" w:themeColor="text1"/>
        </w:rPr>
        <w:t>declarado incidentalmente inconstitucional o §2º do art. 15 da Resolução 345/2015 do CJF</w:t>
      </w:r>
      <w:r w:rsidRPr="00CA121E">
        <w:rPr>
          <w:rStyle w:val="Forte"/>
          <w:rFonts w:ascii="Arial" w:hAnsi="Arial" w:cs="Arial"/>
          <w:b w:val="0"/>
          <w:color w:val="000000" w:themeColor="text1"/>
        </w:rPr>
        <w:t xml:space="preserve"> para que se retorne ao </w:t>
      </w:r>
      <w:r w:rsidRPr="00CA121E">
        <w:rPr>
          <w:rStyle w:val="Forte"/>
          <w:rFonts w:ascii="Arial" w:hAnsi="Arial" w:cs="Arial"/>
          <w:b w:val="0"/>
          <w:i/>
          <w:color w:val="000000" w:themeColor="text1"/>
        </w:rPr>
        <w:t>status quo ante</w:t>
      </w:r>
      <w:r>
        <w:rPr>
          <w:rStyle w:val="Forte"/>
          <w:rFonts w:ascii="Arial" w:hAnsi="Arial" w:cs="Arial"/>
          <w:b w:val="0"/>
          <w:i/>
          <w:color w:val="000000" w:themeColor="text1"/>
        </w:rPr>
        <w:t>,</w:t>
      </w:r>
      <w:r w:rsidRPr="00CA121E">
        <w:rPr>
          <w:rStyle w:val="Forte"/>
          <w:rFonts w:ascii="Arial" w:hAnsi="Arial" w:cs="Arial"/>
          <w:b w:val="0"/>
          <w:color w:val="000000" w:themeColor="text1"/>
        </w:rPr>
        <w:t xml:space="preserve"> em que era possível interpor agravo</w:t>
      </w:r>
      <w:r>
        <w:rPr>
          <w:rStyle w:val="Forte"/>
          <w:rFonts w:ascii="Arial" w:hAnsi="Arial" w:cs="Arial"/>
          <w:b w:val="0"/>
          <w:color w:val="000000" w:themeColor="text1"/>
        </w:rPr>
        <w:t xml:space="preserve"> interno</w:t>
      </w:r>
      <w:r w:rsidRPr="00CA121E">
        <w:rPr>
          <w:rStyle w:val="Forte"/>
          <w:rFonts w:ascii="Arial" w:hAnsi="Arial" w:cs="Arial"/>
          <w:b w:val="0"/>
          <w:color w:val="000000" w:themeColor="text1"/>
        </w:rPr>
        <w:t xml:space="preserve"> ao Presidente da TNU ou Relator quando inadmitido o Incidente</w:t>
      </w:r>
      <w:r>
        <w:rPr>
          <w:rStyle w:val="Forte"/>
          <w:rFonts w:ascii="Arial" w:hAnsi="Arial" w:cs="Arial"/>
          <w:b w:val="0"/>
          <w:color w:val="000000" w:themeColor="text1"/>
        </w:rPr>
        <w:t xml:space="preserve"> pela Turma Recursal, em todos os casos de inadmissão</w:t>
      </w:r>
      <w:r w:rsidRPr="00CA121E">
        <w:rPr>
          <w:rStyle w:val="Forte"/>
          <w:rFonts w:ascii="Arial" w:hAnsi="Arial" w:cs="Arial"/>
          <w:b w:val="0"/>
          <w:color w:val="000000" w:themeColor="text1"/>
        </w:rPr>
        <w:t>;</w:t>
      </w:r>
    </w:p>
    <w:p w:rsidR="006311AB" w:rsidRPr="00CA121E" w:rsidRDefault="006311AB" w:rsidP="006311AB">
      <w:pPr>
        <w:pStyle w:val="NormalWeb"/>
        <w:spacing w:before="0" w:beforeAutospacing="0" w:after="0" w:afterAutospacing="0" w:line="330" w:lineRule="atLeast"/>
        <w:ind w:left="720"/>
        <w:jc w:val="both"/>
        <w:rPr>
          <w:rStyle w:val="Forte"/>
          <w:rFonts w:ascii="Arial" w:hAnsi="Arial" w:cs="Arial"/>
          <w:b w:val="0"/>
          <w:color w:val="000000" w:themeColor="text1"/>
        </w:rPr>
      </w:pPr>
    </w:p>
    <w:p w:rsidR="006311AB" w:rsidRPr="00CA121E" w:rsidRDefault="006311AB" w:rsidP="006311AB">
      <w:pPr>
        <w:pStyle w:val="NormalWeb"/>
        <w:numPr>
          <w:ilvl w:val="0"/>
          <w:numId w:val="16"/>
        </w:numPr>
        <w:spacing w:before="0" w:beforeAutospacing="0" w:after="0" w:afterAutospacing="0" w:line="330" w:lineRule="atLeast"/>
        <w:jc w:val="both"/>
        <w:rPr>
          <w:rStyle w:val="Forte"/>
          <w:rFonts w:ascii="Arial" w:hAnsi="Arial" w:cs="Arial"/>
          <w:b w:val="0"/>
          <w:color w:val="000000" w:themeColor="text1"/>
        </w:rPr>
      </w:pPr>
      <w:r w:rsidRPr="00641C60">
        <w:rPr>
          <w:rStyle w:val="Forte"/>
          <w:rFonts w:ascii="Arial" w:hAnsi="Arial" w:cs="Arial"/>
          <w:color w:val="000000" w:themeColor="text1"/>
        </w:rPr>
        <w:t xml:space="preserve">Sejam declarados Incidentalmente inconstitucionais (por usurpação de competência e ofensa ao art. 22, I da </w:t>
      </w:r>
      <w:proofErr w:type="gramStart"/>
      <w:r w:rsidRPr="00641C60">
        <w:rPr>
          <w:rStyle w:val="Forte"/>
          <w:rFonts w:ascii="Arial" w:hAnsi="Arial" w:cs="Arial"/>
          <w:color w:val="000000" w:themeColor="text1"/>
        </w:rPr>
        <w:t>CF)  os</w:t>
      </w:r>
      <w:proofErr w:type="gramEnd"/>
      <w:r w:rsidRPr="00641C60">
        <w:rPr>
          <w:rStyle w:val="Forte"/>
          <w:rFonts w:ascii="Arial" w:hAnsi="Arial" w:cs="Arial"/>
          <w:color w:val="000000" w:themeColor="text1"/>
        </w:rPr>
        <w:t xml:space="preserve"> arts. 46 (e incisos) e 47 da Resolução 345/2015 do CJF</w:t>
      </w:r>
      <w:r>
        <w:rPr>
          <w:rStyle w:val="Forte"/>
          <w:rFonts w:ascii="Arial" w:hAnsi="Arial" w:cs="Arial"/>
          <w:b w:val="0"/>
          <w:color w:val="000000" w:themeColor="text1"/>
        </w:rPr>
        <w:t xml:space="preserve"> que restringe o uso da </w:t>
      </w:r>
      <w:r w:rsidR="00D9009B">
        <w:rPr>
          <w:rStyle w:val="Forte"/>
          <w:rFonts w:ascii="Arial" w:hAnsi="Arial" w:cs="Arial"/>
          <w:b w:val="0"/>
          <w:color w:val="000000" w:themeColor="text1"/>
        </w:rPr>
        <w:t>“Reclamação</w:t>
      </w:r>
      <w:r>
        <w:rPr>
          <w:rStyle w:val="Forte"/>
          <w:rFonts w:ascii="Arial" w:hAnsi="Arial" w:cs="Arial"/>
          <w:b w:val="0"/>
          <w:color w:val="000000" w:themeColor="text1"/>
        </w:rPr>
        <w:t xml:space="preserve">”, legislando atipicamente, contrária restritivamente ao Legislador originário e competente no art.  988, I, II, III e IV do NCPC, que enumera alternativamente as hipóteses de uso do Instituto e não restringe como fez o CJF diante do seu poder, meramente, regulamentar. </w:t>
      </w:r>
    </w:p>
    <w:p w:rsidR="00C52B8B" w:rsidRPr="00A31A04" w:rsidRDefault="00C52B8B" w:rsidP="00C52B8B">
      <w:pPr>
        <w:pStyle w:val="Normal1"/>
        <w:spacing w:line="100" w:lineRule="atLeast"/>
        <w:ind w:left="1134"/>
        <w:rPr>
          <w:rFonts w:ascii="Arial" w:hAnsi="Arial" w:cs="Arial"/>
          <w:color w:val="000000"/>
        </w:rPr>
      </w:pPr>
      <w:r w:rsidRPr="00A31A04">
        <w:rPr>
          <w:rFonts w:ascii="Arial" w:hAnsi="Arial" w:cs="Arial"/>
          <w:color w:val="000000"/>
        </w:rPr>
        <w:t xml:space="preserve">Termos </w:t>
      </w:r>
      <w:r>
        <w:rPr>
          <w:rFonts w:ascii="Arial" w:hAnsi="Arial" w:cs="Arial"/>
          <w:color w:val="000000"/>
        </w:rPr>
        <w:t>em que pede e espera deferimento.</w:t>
      </w:r>
    </w:p>
    <w:p w:rsidR="00C52B8B" w:rsidRPr="00A31A04" w:rsidRDefault="00C52B8B" w:rsidP="00C52B8B">
      <w:pPr>
        <w:pStyle w:val="Normal1"/>
        <w:spacing w:line="100" w:lineRule="atLeast"/>
        <w:ind w:left="1134"/>
        <w:rPr>
          <w:rFonts w:ascii="Arial" w:hAnsi="Arial" w:cs="Arial"/>
          <w:color w:val="000000"/>
        </w:rPr>
      </w:pPr>
      <w:r>
        <w:rPr>
          <w:rFonts w:ascii="Arial" w:hAnsi="Arial" w:cs="Arial"/>
          <w:color w:val="000000"/>
        </w:rPr>
        <w:t xml:space="preserve">Juiz de Fora, </w:t>
      </w:r>
      <w:r w:rsidR="00F94385">
        <w:rPr>
          <w:rFonts w:ascii="Arial" w:hAnsi="Arial" w:cs="Arial"/>
          <w:color w:val="000000"/>
        </w:rPr>
        <w:t>____</w:t>
      </w:r>
      <w:r w:rsidR="0068069D">
        <w:rPr>
          <w:rFonts w:ascii="Arial" w:hAnsi="Arial" w:cs="Arial"/>
          <w:color w:val="000000"/>
        </w:rPr>
        <w:t xml:space="preserve"> de</w:t>
      </w:r>
      <w:r>
        <w:rPr>
          <w:rFonts w:ascii="Arial" w:hAnsi="Arial" w:cs="Arial"/>
          <w:color w:val="000000"/>
        </w:rPr>
        <w:t xml:space="preserve"> </w:t>
      </w:r>
      <w:r w:rsidR="00F94385">
        <w:rPr>
          <w:rFonts w:ascii="Arial" w:hAnsi="Arial" w:cs="Arial"/>
          <w:color w:val="000000"/>
        </w:rPr>
        <w:t>__________</w:t>
      </w:r>
      <w:r>
        <w:rPr>
          <w:rFonts w:ascii="Arial" w:hAnsi="Arial" w:cs="Arial"/>
          <w:color w:val="000000"/>
        </w:rPr>
        <w:t xml:space="preserve"> de 20</w:t>
      </w:r>
      <w:r w:rsidR="00371DEB">
        <w:rPr>
          <w:rFonts w:ascii="Arial" w:hAnsi="Arial" w:cs="Arial"/>
          <w:color w:val="000000"/>
        </w:rPr>
        <w:t>_____</w:t>
      </w:r>
      <w:r>
        <w:rPr>
          <w:rFonts w:ascii="Arial" w:hAnsi="Arial" w:cs="Arial"/>
          <w:color w:val="000000"/>
        </w:rPr>
        <w:t>.</w:t>
      </w:r>
    </w:p>
    <w:p w:rsidR="00C52B8B" w:rsidRPr="00D31AA4" w:rsidRDefault="00C52B8B" w:rsidP="003E63D2">
      <w:pPr>
        <w:pStyle w:val="Normal1"/>
        <w:spacing w:before="0" w:beforeAutospacing="0" w:after="0" w:afterAutospacing="0"/>
        <w:ind w:left="1134"/>
        <w:jc w:val="center"/>
        <w:rPr>
          <w:rFonts w:ascii="Arial" w:hAnsi="Arial" w:cs="Arial"/>
        </w:rPr>
      </w:pPr>
      <w:r w:rsidRPr="00D31AA4">
        <w:rPr>
          <w:rFonts w:ascii="Arial" w:hAnsi="Arial" w:cs="Arial"/>
        </w:rPr>
        <w:t>_______________________</w:t>
      </w:r>
      <w:r>
        <w:rPr>
          <w:rFonts w:ascii="Arial" w:hAnsi="Arial" w:cs="Arial"/>
        </w:rPr>
        <w:t>____</w:t>
      </w:r>
      <w:r w:rsidRPr="00D31AA4">
        <w:rPr>
          <w:rFonts w:ascii="Arial" w:hAnsi="Arial" w:cs="Arial"/>
        </w:rPr>
        <w:t>_____________</w:t>
      </w:r>
    </w:p>
    <w:p w:rsidR="00C52B8B" w:rsidRPr="00D31AA4" w:rsidRDefault="00371DEB" w:rsidP="003E63D2">
      <w:pPr>
        <w:pStyle w:val="Normal1"/>
        <w:spacing w:before="0" w:beforeAutospacing="0" w:after="0" w:afterAutospacing="0"/>
        <w:ind w:left="1134"/>
        <w:jc w:val="center"/>
        <w:rPr>
          <w:rFonts w:ascii="Arial" w:hAnsi="Arial" w:cs="Arial"/>
        </w:rPr>
      </w:pPr>
      <w:r>
        <w:rPr>
          <w:rFonts w:ascii="Arial" w:hAnsi="Arial" w:cs="Arial"/>
        </w:rPr>
        <w:lastRenderedPageBreak/>
        <w:t>NOME COMPLETO DO ADVOGADO</w:t>
      </w:r>
    </w:p>
    <w:p w:rsidR="00C52B8B" w:rsidRPr="00CF6C60" w:rsidRDefault="00C52B8B" w:rsidP="003E63D2">
      <w:pPr>
        <w:pStyle w:val="Normal1"/>
        <w:spacing w:before="0" w:beforeAutospacing="0" w:after="0" w:afterAutospacing="0"/>
        <w:ind w:left="1134"/>
        <w:jc w:val="center"/>
      </w:pPr>
      <w:r w:rsidRPr="00D31AA4">
        <w:rPr>
          <w:rFonts w:ascii="Arial" w:eastAsia="Book Antiqua" w:hAnsi="Arial" w:cs="Arial"/>
        </w:rPr>
        <w:t>OAB-</w:t>
      </w:r>
      <w:r w:rsidR="00371DEB">
        <w:rPr>
          <w:rFonts w:ascii="Arial" w:eastAsia="Book Antiqua" w:hAnsi="Arial" w:cs="Arial"/>
        </w:rPr>
        <w:t>___ __________</w:t>
      </w:r>
    </w:p>
    <w:p w:rsidR="0049135D" w:rsidRPr="00C52B8B" w:rsidRDefault="0049135D" w:rsidP="00C52B8B"/>
    <w:sectPr w:rsidR="0049135D" w:rsidRPr="00C52B8B" w:rsidSect="00C31BD6">
      <w:headerReference w:type="default" r:id="rId13"/>
      <w:footerReference w:type="default" r:id="rId14"/>
      <w:pgSz w:w="11907" w:h="16840" w:code="9"/>
      <w:pgMar w:top="1134" w:right="1134" w:bottom="1134" w:left="1701" w:header="0" w:footer="397"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749" w:rsidRDefault="00357749">
      <w:r>
        <w:separator/>
      </w:r>
    </w:p>
  </w:endnote>
  <w:endnote w:type="continuationSeparator" w:id="0">
    <w:p w:rsidR="00357749" w:rsidRDefault="0035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itstream Charter">
    <w:altName w:val="MS Mincho"/>
    <w:charset w:val="80"/>
    <w:family w:val="auto"/>
    <w:pitch w:val="variable"/>
  </w:font>
  <w:font w:name="Luxi Sans">
    <w:charset w:val="00"/>
    <w:family w:val="auto"/>
    <w:pitch w:val="variable"/>
  </w:font>
  <w:font w:name="Arial Black">
    <w:panose1 w:val="020B0A04020102020204"/>
    <w:charset w:val="00"/>
    <w:family w:val="swiss"/>
    <w:pitch w:val="variable"/>
    <w:sig w:usb0="00000287" w:usb1="00000000" w:usb2="00000000" w:usb3="00000000" w:csb0="0000009F" w:csb1="00000000"/>
  </w:font>
  <w:font w:name="HG Mincho Light J">
    <w:altName w:val="Times New Roman"/>
    <w:charset w:val="00"/>
    <w:family w:val="auto"/>
    <w:pitch w:val="variable"/>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opperplate Gothic Light">
    <w:panose1 w:val="020E05070202060204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EEB" w:rsidRPr="00347849" w:rsidRDefault="00F94385" w:rsidP="009247F6">
    <w:pPr>
      <w:pStyle w:val="Rodap"/>
      <w:spacing w:line="240" w:lineRule="auto"/>
      <w:jc w:val="center"/>
      <w:rPr>
        <w:rFonts w:ascii="Courier New" w:hAnsi="Courier New" w:cs="Courier New"/>
        <w:color w:val="000000"/>
        <w:sz w:val="16"/>
        <w:szCs w:val="16"/>
      </w:rPr>
    </w:pPr>
    <w:r>
      <w:rPr>
        <w:b/>
        <w:noProof/>
        <w:sz w:val="16"/>
        <w:szCs w:val="16"/>
      </w:rPr>
      <w:t>Endereços e contatos do Escritório</w:t>
    </w:r>
  </w:p>
  <w:p w:rsidR="000B4EEB" w:rsidRPr="00C31BD6" w:rsidRDefault="000B4EEB" w:rsidP="00C31BD6">
    <w:pPr>
      <w:pStyle w:val="Rodap"/>
      <w:tabs>
        <w:tab w:val="clear" w:pos="8838"/>
        <w:tab w:val="right" w:pos="9356"/>
      </w:tabs>
      <w:ind w:right="-426"/>
      <w:jc w:val="right"/>
      <w:rPr>
        <w:rFonts w:ascii="Courier New" w:hAnsi="Courier New" w:cs="Courier New"/>
        <w:b/>
        <w:bCs/>
        <w:sz w:val="18"/>
      </w:rPr>
    </w:pPr>
    <w:r>
      <w:rPr>
        <w:rStyle w:val="Nmerodepgina"/>
        <w:b/>
        <w:bCs/>
        <w:sz w:val="18"/>
      </w:rPr>
      <w:t xml:space="preserve">   </w:t>
    </w:r>
    <w:r w:rsidRPr="00C31BD6">
      <w:rPr>
        <w:rStyle w:val="Nmerodepgina"/>
        <w:b/>
        <w:bCs/>
        <w:sz w:val="18"/>
      </w:rPr>
      <w:fldChar w:fldCharType="begin"/>
    </w:r>
    <w:r w:rsidRPr="00C31BD6">
      <w:rPr>
        <w:rStyle w:val="Nmerodepgina"/>
        <w:b/>
        <w:bCs/>
        <w:sz w:val="18"/>
      </w:rPr>
      <w:instrText xml:space="preserve"> PAGE </w:instrText>
    </w:r>
    <w:r w:rsidRPr="00C31BD6">
      <w:rPr>
        <w:rStyle w:val="Nmerodepgina"/>
        <w:b/>
        <w:bCs/>
        <w:sz w:val="18"/>
      </w:rPr>
      <w:fldChar w:fldCharType="separate"/>
    </w:r>
    <w:r w:rsidR="00120278">
      <w:rPr>
        <w:rStyle w:val="Nmerodepgina"/>
        <w:b/>
        <w:bCs/>
        <w:noProof/>
        <w:sz w:val="18"/>
      </w:rPr>
      <w:t>21</w:t>
    </w:r>
    <w:r w:rsidRPr="00C31BD6">
      <w:rPr>
        <w:rStyle w:val="Nmerodepgina"/>
        <w:b/>
        <w:bCs/>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749" w:rsidRDefault="00357749">
      <w:r>
        <w:separator/>
      </w:r>
    </w:p>
  </w:footnote>
  <w:footnote w:type="continuationSeparator" w:id="0">
    <w:p w:rsidR="00357749" w:rsidRDefault="00357749">
      <w:r>
        <w:continuationSeparator/>
      </w:r>
    </w:p>
  </w:footnote>
  <w:footnote w:id="1">
    <w:p w:rsidR="000B4EEB" w:rsidRDefault="000B4EEB" w:rsidP="00094B09">
      <w:pPr>
        <w:pStyle w:val="Textodenotaderodap"/>
        <w:spacing w:line="240" w:lineRule="auto"/>
      </w:pPr>
      <w:r>
        <w:rPr>
          <w:rStyle w:val="Refdenotaderodap"/>
        </w:rPr>
        <w:footnoteRef/>
      </w:r>
      <w:r>
        <w:t xml:space="preserve"> NEVES, Daniel Amorim Assumpção. Manual de Direito Processual Civil- volume único, 9</w:t>
      </w:r>
      <w:proofErr w:type="gramStart"/>
      <w:r>
        <w:t>ªed.-</w:t>
      </w:r>
      <w:proofErr w:type="gramEnd"/>
      <w:r>
        <w:t xml:space="preserve"> Salvador: Ed. Juspodvim,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EEB" w:rsidRDefault="000B4EEB" w:rsidP="00E44D23">
    <w:pPr>
      <w:tabs>
        <w:tab w:val="left" w:pos="945"/>
      </w:tabs>
      <w:rPr>
        <w:rFonts w:ascii="Arial" w:hAnsi="Arial" w:cs="Arial"/>
        <w:b/>
        <w:sz w:val="20"/>
        <w:szCs w:val="20"/>
      </w:rPr>
    </w:pPr>
    <w:r>
      <w:rPr>
        <w:rFonts w:ascii="Arial" w:hAnsi="Arial" w:cs="Arial"/>
        <w:b/>
        <w:sz w:val="20"/>
        <w:szCs w:val="20"/>
      </w:rPr>
      <w:t xml:space="preserve"> </w:t>
    </w:r>
  </w:p>
  <w:p w:rsidR="000B4EEB" w:rsidRDefault="000B4EEB" w:rsidP="00971D4B">
    <w:pPr>
      <w:rPr>
        <w:rFonts w:ascii="Arial" w:hAnsi="Arial" w:cs="Arial"/>
        <w:b/>
        <w:sz w:val="20"/>
        <w:szCs w:val="20"/>
      </w:rPr>
    </w:pPr>
  </w:p>
  <w:p w:rsidR="000B4EEB" w:rsidRDefault="000B4EEB" w:rsidP="0033594E">
    <w:pPr>
      <w:ind w:left="-709"/>
      <w:rPr>
        <w:rFonts w:ascii="Arial" w:hAnsi="Arial" w:cs="Arial"/>
        <w:b/>
        <w:sz w:val="20"/>
        <w:szCs w:val="20"/>
      </w:rPr>
    </w:pPr>
  </w:p>
  <w:p w:rsidR="000B4EEB" w:rsidRDefault="000B4EEB" w:rsidP="00971D4B">
    <w:pPr>
      <w:rPr>
        <w:rFonts w:ascii="Arial" w:hAnsi="Arial" w:cs="Arial"/>
        <w:b/>
        <w:sz w:val="20"/>
        <w:szCs w:val="20"/>
      </w:rPr>
    </w:pPr>
  </w:p>
  <w:p w:rsidR="000B4EEB" w:rsidRDefault="000B4EEB" w:rsidP="0033594E">
    <w:pPr>
      <w:pStyle w:val="Cabealho"/>
      <w:ind w:left="-993"/>
      <w:rPr>
        <w:rFonts w:ascii="Copperplate Gothic Light" w:hAnsi="Copperplate Gothic Light"/>
        <w:sz w:val="44"/>
      </w:rPr>
    </w:pPr>
    <w:r>
      <w:rPr>
        <w:rFonts w:ascii="Copperplate Gothic Light" w:hAnsi="Copperplate Gothic Light"/>
        <w:sz w:val="44"/>
      </w:rPr>
      <w:t xml:space="preserve"> </w:t>
    </w:r>
    <w:r w:rsidR="00F94385">
      <w:rPr>
        <w:rFonts w:ascii="Copperplate Gothic Light" w:hAnsi="Copperplate Gothic Light"/>
        <w:sz w:val="44"/>
      </w:rPr>
      <w:t>Logo do escritório</w:t>
    </w:r>
  </w:p>
  <w:p w:rsidR="000B4EEB" w:rsidRDefault="000B4EEB" w:rsidP="00CD1C74">
    <w:pPr>
      <w:pStyle w:val="Cabealho"/>
      <w:rPr>
        <w:sz w:val="8"/>
      </w:rPr>
    </w:pPr>
    <w:r>
      <w:rPr>
        <w:rFonts w:ascii="Arial" w:eastAsia="Batang" w:hAnsi="Arial" w:cs="Arial"/>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7EECBB26"/>
    <w:name w:val="WW8Num1"/>
    <w:lvl w:ilvl="0">
      <w:start w:val="1"/>
      <w:numFmt w:val="decimal"/>
      <w:lvlText w:val="%1."/>
      <w:lvlJc w:val="left"/>
      <w:pPr>
        <w:tabs>
          <w:tab w:val="num" w:pos="360"/>
        </w:tabs>
        <w:ind w:left="360" w:firstLine="0"/>
      </w:pPr>
      <w:rPr>
        <w:b w:val="0"/>
        <w:i w:val="0"/>
        <w:color w:val="auto"/>
      </w:rPr>
    </w:lvl>
    <w:lvl w:ilvl="1">
      <w:start w:val="1"/>
      <w:numFmt w:val="none"/>
      <w:suff w:val="nothing"/>
      <w:lvlText w:val=""/>
      <w:lvlJc w:val="left"/>
      <w:pPr>
        <w:tabs>
          <w:tab w:val="num" w:pos="360"/>
        </w:tabs>
        <w:ind w:left="360" w:firstLine="0"/>
      </w:pPr>
    </w:lvl>
    <w:lvl w:ilvl="2">
      <w:start w:val="1"/>
      <w:numFmt w:val="none"/>
      <w:suff w:val="nothing"/>
      <w:lvlText w:val=""/>
      <w:lvlJc w:val="left"/>
      <w:pPr>
        <w:tabs>
          <w:tab w:val="num" w:pos="360"/>
        </w:tabs>
        <w:ind w:left="360" w:firstLine="0"/>
      </w:pPr>
    </w:lvl>
    <w:lvl w:ilvl="3">
      <w:start w:val="1"/>
      <w:numFmt w:val="none"/>
      <w:suff w:val="nothing"/>
      <w:lvlText w:val=""/>
      <w:lvlJc w:val="left"/>
      <w:pPr>
        <w:tabs>
          <w:tab w:val="num" w:pos="360"/>
        </w:tabs>
        <w:ind w:left="360" w:firstLine="0"/>
      </w:pPr>
    </w:lvl>
    <w:lvl w:ilvl="4">
      <w:start w:val="1"/>
      <w:numFmt w:val="none"/>
      <w:suff w:val="nothing"/>
      <w:lvlText w:val=""/>
      <w:lvlJc w:val="left"/>
      <w:pPr>
        <w:tabs>
          <w:tab w:val="num" w:pos="360"/>
        </w:tabs>
        <w:ind w:left="360" w:firstLine="0"/>
      </w:pPr>
    </w:lvl>
    <w:lvl w:ilvl="5">
      <w:start w:val="1"/>
      <w:numFmt w:val="none"/>
      <w:suff w:val="nothing"/>
      <w:lvlText w:val=""/>
      <w:lvlJc w:val="left"/>
      <w:pPr>
        <w:tabs>
          <w:tab w:val="num" w:pos="360"/>
        </w:tabs>
        <w:ind w:left="360" w:firstLine="0"/>
      </w:pPr>
    </w:lvl>
    <w:lvl w:ilvl="6">
      <w:start w:val="1"/>
      <w:numFmt w:val="none"/>
      <w:suff w:val="nothing"/>
      <w:lvlText w:val=""/>
      <w:lvlJc w:val="left"/>
      <w:pPr>
        <w:tabs>
          <w:tab w:val="num" w:pos="360"/>
        </w:tabs>
        <w:ind w:left="360" w:firstLine="0"/>
      </w:pPr>
    </w:lvl>
    <w:lvl w:ilvl="7">
      <w:start w:val="1"/>
      <w:numFmt w:val="none"/>
      <w:suff w:val="nothing"/>
      <w:lvlText w:val=""/>
      <w:lvlJc w:val="left"/>
      <w:pPr>
        <w:tabs>
          <w:tab w:val="num" w:pos="360"/>
        </w:tabs>
        <w:ind w:left="360" w:firstLine="0"/>
      </w:pPr>
    </w:lvl>
    <w:lvl w:ilvl="8">
      <w:start w:val="1"/>
      <w:numFmt w:val="none"/>
      <w:suff w:val="nothing"/>
      <w:lvlText w:val=""/>
      <w:lvlJc w:val="left"/>
      <w:pPr>
        <w:tabs>
          <w:tab w:val="num" w:pos="360"/>
        </w:tabs>
        <w:ind w:left="360" w:firstLine="0"/>
      </w:pPr>
    </w:lvl>
  </w:abstractNum>
  <w:abstractNum w:abstractNumId="1">
    <w:nsid w:val="05FB2AB9"/>
    <w:multiLevelType w:val="hybridMultilevel"/>
    <w:tmpl w:val="0FCAFC8C"/>
    <w:lvl w:ilvl="0" w:tplc="08E81166">
      <w:start w:val="1"/>
      <w:numFmt w:val="decimal"/>
      <w:lvlText w:val="%1)"/>
      <w:lvlJc w:val="left"/>
      <w:pPr>
        <w:ind w:left="36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903177"/>
    <w:multiLevelType w:val="hybridMultilevel"/>
    <w:tmpl w:val="3B9070FE"/>
    <w:lvl w:ilvl="0" w:tplc="EBB4E8D0">
      <w:start w:val="4"/>
      <w:numFmt w:val="bullet"/>
      <w:lvlText w:val="-"/>
      <w:lvlJc w:val="left"/>
      <w:pPr>
        <w:tabs>
          <w:tab w:val="num" w:pos="1080"/>
        </w:tabs>
        <w:ind w:left="1080" w:hanging="360"/>
      </w:pPr>
      <w:rPr>
        <w:rFonts w:ascii="Times New Roman" w:eastAsia="Arial Unicode MS" w:hAnsi="Times New Roman" w:cs="Times New Roman"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3">
    <w:nsid w:val="15A171B8"/>
    <w:multiLevelType w:val="hybridMultilevel"/>
    <w:tmpl w:val="2230EE58"/>
    <w:lvl w:ilvl="0" w:tplc="04160017">
      <w:start w:val="1"/>
      <w:numFmt w:val="lowerLetter"/>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27A8011A"/>
    <w:multiLevelType w:val="hybridMultilevel"/>
    <w:tmpl w:val="31D07432"/>
    <w:lvl w:ilvl="0" w:tplc="1B609786">
      <w:start w:val="1"/>
      <w:numFmt w:val="decimal"/>
      <w:lvlText w:val="%1)"/>
      <w:lvlJc w:val="left"/>
      <w:pPr>
        <w:ind w:left="1452" w:hanging="885"/>
      </w:pPr>
      <w:rPr>
        <w:rFonts w:ascii="Times New Roman" w:eastAsia="Times New Roman" w:hAnsi="Times New Roman" w:cs="Times New Roman"/>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5">
    <w:nsid w:val="38140688"/>
    <w:multiLevelType w:val="hybridMultilevel"/>
    <w:tmpl w:val="855CA88E"/>
    <w:lvl w:ilvl="0" w:tplc="293C56F0">
      <w:start w:val="1"/>
      <w:numFmt w:val="decimal"/>
      <w:lvlText w:val="%1-"/>
      <w:lvlJc w:val="left"/>
      <w:pPr>
        <w:ind w:left="644"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3C31652E"/>
    <w:multiLevelType w:val="hybridMultilevel"/>
    <w:tmpl w:val="3E9A114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44122EF"/>
    <w:multiLevelType w:val="hybridMultilevel"/>
    <w:tmpl w:val="C5062A92"/>
    <w:lvl w:ilvl="0" w:tplc="721AEAA0">
      <w:start w:val="1"/>
      <w:numFmt w:val="decimal"/>
      <w:lvlText w:val="%1."/>
      <w:lvlJc w:val="left"/>
      <w:pPr>
        <w:tabs>
          <w:tab w:val="num" w:pos="2628"/>
        </w:tabs>
        <w:ind w:left="2628" w:hanging="360"/>
      </w:pPr>
      <w:rPr>
        <w:rFonts w:hint="default"/>
        <w:b w:val="0"/>
      </w:rPr>
    </w:lvl>
    <w:lvl w:ilvl="1" w:tplc="04160019" w:tentative="1">
      <w:start w:val="1"/>
      <w:numFmt w:val="lowerLetter"/>
      <w:lvlText w:val="%2."/>
      <w:lvlJc w:val="left"/>
      <w:pPr>
        <w:tabs>
          <w:tab w:val="num" w:pos="3348"/>
        </w:tabs>
        <w:ind w:left="3348" w:hanging="360"/>
      </w:pPr>
    </w:lvl>
    <w:lvl w:ilvl="2" w:tplc="0416001B" w:tentative="1">
      <w:start w:val="1"/>
      <w:numFmt w:val="lowerRoman"/>
      <w:lvlText w:val="%3."/>
      <w:lvlJc w:val="right"/>
      <w:pPr>
        <w:tabs>
          <w:tab w:val="num" w:pos="4068"/>
        </w:tabs>
        <w:ind w:left="4068" w:hanging="180"/>
      </w:pPr>
    </w:lvl>
    <w:lvl w:ilvl="3" w:tplc="0416000F" w:tentative="1">
      <w:start w:val="1"/>
      <w:numFmt w:val="decimal"/>
      <w:lvlText w:val="%4."/>
      <w:lvlJc w:val="left"/>
      <w:pPr>
        <w:tabs>
          <w:tab w:val="num" w:pos="4788"/>
        </w:tabs>
        <w:ind w:left="4788" w:hanging="360"/>
      </w:pPr>
    </w:lvl>
    <w:lvl w:ilvl="4" w:tplc="04160019" w:tentative="1">
      <w:start w:val="1"/>
      <w:numFmt w:val="lowerLetter"/>
      <w:lvlText w:val="%5."/>
      <w:lvlJc w:val="left"/>
      <w:pPr>
        <w:tabs>
          <w:tab w:val="num" w:pos="5508"/>
        </w:tabs>
        <w:ind w:left="5508" w:hanging="360"/>
      </w:pPr>
    </w:lvl>
    <w:lvl w:ilvl="5" w:tplc="0416001B" w:tentative="1">
      <w:start w:val="1"/>
      <w:numFmt w:val="lowerRoman"/>
      <w:lvlText w:val="%6."/>
      <w:lvlJc w:val="right"/>
      <w:pPr>
        <w:tabs>
          <w:tab w:val="num" w:pos="6228"/>
        </w:tabs>
        <w:ind w:left="6228" w:hanging="180"/>
      </w:pPr>
    </w:lvl>
    <w:lvl w:ilvl="6" w:tplc="0416000F" w:tentative="1">
      <w:start w:val="1"/>
      <w:numFmt w:val="decimal"/>
      <w:lvlText w:val="%7."/>
      <w:lvlJc w:val="left"/>
      <w:pPr>
        <w:tabs>
          <w:tab w:val="num" w:pos="6948"/>
        </w:tabs>
        <w:ind w:left="6948" w:hanging="360"/>
      </w:pPr>
    </w:lvl>
    <w:lvl w:ilvl="7" w:tplc="04160019" w:tentative="1">
      <w:start w:val="1"/>
      <w:numFmt w:val="lowerLetter"/>
      <w:lvlText w:val="%8."/>
      <w:lvlJc w:val="left"/>
      <w:pPr>
        <w:tabs>
          <w:tab w:val="num" w:pos="7668"/>
        </w:tabs>
        <w:ind w:left="7668" w:hanging="360"/>
      </w:pPr>
    </w:lvl>
    <w:lvl w:ilvl="8" w:tplc="0416001B" w:tentative="1">
      <w:start w:val="1"/>
      <w:numFmt w:val="lowerRoman"/>
      <w:lvlText w:val="%9."/>
      <w:lvlJc w:val="right"/>
      <w:pPr>
        <w:tabs>
          <w:tab w:val="num" w:pos="8388"/>
        </w:tabs>
        <w:ind w:left="8388" w:hanging="180"/>
      </w:pPr>
    </w:lvl>
  </w:abstractNum>
  <w:abstractNum w:abstractNumId="8">
    <w:nsid w:val="44D56075"/>
    <w:multiLevelType w:val="hybridMultilevel"/>
    <w:tmpl w:val="9A6464DE"/>
    <w:lvl w:ilvl="0" w:tplc="0882A712">
      <w:start w:val="1"/>
      <w:numFmt w:val="decimal"/>
      <w:lvlText w:val="%1)"/>
      <w:lvlJc w:val="left"/>
      <w:pPr>
        <w:ind w:left="786" w:hanging="360"/>
      </w:pPr>
      <w:rPr>
        <w:rFonts w:ascii="Arial" w:eastAsia="Times New Roman" w:hAnsi="Arial" w:cs="Arial"/>
        <w:b w:val="0"/>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9">
    <w:nsid w:val="44FE0D20"/>
    <w:multiLevelType w:val="multilevel"/>
    <w:tmpl w:val="A398B1C8"/>
    <w:lvl w:ilvl="0">
      <w:start w:val="1"/>
      <w:numFmt w:val="decimal"/>
      <w:lvlText w:val="%1."/>
      <w:lvlJc w:val="left"/>
      <w:pPr>
        <w:ind w:left="360" w:hanging="36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46A624D9"/>
    <w:multiLevelType w:val="hybridMultilevel"/>
    <w:tmpl w:val="C5F24D76"/>
    <w:lvl w:ilvl="0" w:tplc="0416000F">
      <w:start w:val="1"/>
      <w:numFmt w:val="decimal"/>
      <w:lvlText w:val="%1."/>
      <w:lvlJc w:val="left"/>
      <w:pPr>
        <w:ind w:left="1080" w:hanging="360"/>
      </w:pPr>
      <w:rPr>
        <w:rFonts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nsid w:val="46FE5128"/>
    <w:multiLevelType w:val="hybridMultilevel"/>
    <w:tmpl w:val="EB06F1BE"/>
    <w:lvl w:ilvl="0" w:tplc="5E18184E">
      <w:start w:val="1"/>
      <w:numFmt w:val="decimal"/>
      <w:lvlText w:val="%1)"/>
      <w:lvlJc w:val="left"/>
      <w:pPr>
        <w:ind w:left="1515" w:hanging="1515"/>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2">
    <w:nsid w:val="51FD24C5"/>
    <w:multiLevelType w:val="multilevel"/>
    <w:tmpl w:val="194A8B3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5016" w:hanging="2160"/>
      </w:pPr>
      <w:rPr>
        <w:rFonts w:hint="default"/>
      </w:rPr>
    </w:lvl>
  </w:abstractNum>
  <w:abstractNum w:abstractNumId="13">
    <w:nsid w:val="5316410C"/>
    <w:multiLevelType w:val="hybridMultilevel"/>
    <w:tmpl w:val="ADE26B0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86B4205"/>
    <w:multiLevelType w:val="hybridMultilevel"/>
    <w:tmpl w:val="01660476"/>
    <w:lvl w:ilvl="0" w:tplc="93C2EB50">
      <w:start w:val="1"/>
      <w:numFmt w:val="decimal"/>
      <w:lvlText w:val="%1)"/>
      <w:lvlJc w:val="left"/>
      <w:pPr>
        <w:ind w:left="717" w:hanging="360"/>
      </w:pPr>
      <w:rPr>
        <w:rFonts w:hint="default"/>
        <w:b w:val="0"/>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15">
    <w:nsid w:val="5EEC4DBB"/>
    <w:multiLevelType w:val="hybridMultilevel"/>
    <w:tmpl w:val="7D406ED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F4D550A"/>
    <w:multiLevelType w:val="hybridMultilevel"/>
    <w:tmpl w:val="A0BCFE96"/>
    <w:lvl w:ilvl="0" w:tplc="2672338A">
      <w:start w:val="1"/>
      <w:numFmt w:val="decimal"/>
      <w:lvlText w:val="%1."/>
      <w:lvlJc w:val="left"/>
      <w:pPr>
        <w:ind w:left="536" w:hanging="360"/>
      </w:pPr>
      <w:rPr>
        <w:rFonts w:hint="default"/>
      </w:rPr>
    </w:lvl>
    <w:lvl w:ilvl="1" w:tplc="04160019" w:tentative="1">
      <w:start w:val="1"/>
      <w:numFmt w:val="lowerLetter"/>
      <w:lvlText w:val="%2."/>
      <w:lvlJc w:val="left"/>
      <w:pPr>
        <w:ind w:left="1256" w:hanging="360"/>
      </w:pPr>
    </w:lvl>
    <w:lvl w:ilvl="2" w:tplc="0416001B" w:tentative="1">
      <w:start w:val="1"/>
      <w:numFmt w:val="lowerRoman"/>
      <w:lvlText w:val="%3."/>
      <w:lvlJc w:val="right"/>
      <w:pPr>
        <w:ind w:left="1976" w:hanging="180"/>
      </w:pPr>
    </w:lvl>
    <w:lvl w:ilvl="3" w:tplc="0416000F" w:tentative="1">
      <w:start w:val="1"/>
      <w:numFmt w:val="decimal"/>
      <w:lvlText w:val="%4."/>
      <w:lvlJc w:val="left"/>
      <w:pPr>
        <w:ind w:left="2696" w:hanging="360"/>
      </w:pPr>
    </w:lvl>
    <w:lvl w:ilvl="4" w:tplc="04160019" w:tentative="1">
      <w:start w:val="1"/>
      <w:numFmt w:val="lowerLetter"/>
      <w:lvlText w:val="%5."/>
      <w:lvlJc w:val="left"/>
      <w:pPr>
        <w:ind w:left="3416" w:hanging="360"/>
      </w:pPr>
    </w:lvl>
    <w:lvl w:ilvl="5" w:tplc="0416001B" w:tentative="1">
      <w:start w:val="1"/>
      <w:numFmt w:val="lowerRoman"/>
      <w:lvlText w:val="%6."/>
      <w:lvlJc w:val="right"/>
      <w:pPr>
        <w:ind w:left="4136" w:hanging="180"/>
      </w:pPr>
    </w:lvl>
    <w:lvl w:ilvl="6" w:tplc="0416000F" w:tentative="1">
      <w:start w:val="1"/>
      <w:numFmt w:val="decimal"/>
      <w:lvlText w:val="%7."/>
      <w:lvlJc w:val="left"/>
      <w:pPr>
        <w:ind w:left="4856" w:hanging="360"/>
      </w:pPr>
    </w:lvl>
    <w:lvl w:ilvl="7" w:tplc="04160019" w:tentative="1">
      <w:start w:val="1"/>
      <w:numFmt w:val="lowerLetter"/>
      <w:lvlText w:val="%8."/>
      <w:lvlJc w:val="left"/>
      <w:pPr>
        <w:ind w:left="5576" w:hanging="360"/>
      </w:pPr>
    </w:lvl>
    <w:lvl w:ilvl="8" w:tplc="0416001B" w:tentative="1">
      <w:start w:val="1"/>
      <w:numFmt w:val="lowerRoman"/>
      <w:lvlText w:val="%9."/>
      <w:lvlJc w:val="right"/>
      <w:pPr>
        <w:ind w:left="6296" w:hanging="180"/>
      </w:pPr>
    </w:lvl>
  </w:abstractNum>
  <w:abstractNum w:abstractNumId="17">
    <w:nsid w:val="60E32C99"/>
    <w:multiLevelType w:val="multilevel"/>
    <w:tmpl w:val="00B6A34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nsid w:val="667F62B4"/>
    <w:multiLevelType w:val="hybridMultilevel"/>
    <w:tmpl w:val="A014A57A"/>
    <w:lvl w:ilvl="0" w:tplc="682A79F2">
      <w:start w:val="1"/>
      <w:numFmt w:val="upperRoman"/>
      <w:lvlText w:val="%1-"/>
      <w:lvlJc w:val="left"/>
      <w:pPr>
        <w:ind w:left="720" w:hanging="720"/>
      </w:pPr>
      <w:rPr>
        <w:rFonts w:hint="default"/>
        <w:b/>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19">
    <w:nsid w:val="66D4127F"/>
    <w:multiLevelType w:val="hybridMultilevel"/>
    <w:tmpl w:val="5C2A468E"/>
    <w:lvl w:ilvl="0" w:tplc="8B409234">
      <w:start w:val="1"/>
      <w:numFmt w:val="upperLetter"/>
      <w:lvlText w:val="%1)"/>
      <w:lvlJc w:val="left"/>
      <w:pPr>
        <w:tabs>
          <w:tab w:val="num" w:pos="3254"/>
        </w:tabs>
        <w:ind w:left="3254" w:hanging="1995"/>
      </w:pPr>
      <w:rPr>
        <w:rFonts w:hint="default"/>
      </w:rPr>
    </w:lvl>
    <w:lvl w:ilvl="1" w:tplc="04160019" w:tentative="1">
      <w:start w:val="1"/>
      <w:numFmt w:val="lowerLetter"/>
      <w:lvlText w:val="%2."/>
      <w:lvlJc w:val="left"/>
      <w:pPr>
        <w:tabs>
          <w:tab w:val="num" w:pos="2339"/>
        </w:tabs>
        <w:ind w:left="2339" w:hanging="360"/>
      </w:pPr>
    </w:lvl>
    <w:lvl w:ilvl="2" w:tplc="0416001B" w:tentative="1">
      <w:start w:val="1"/>
      <w:numFmt w:val="lowerRoman"/>
      <w:lvlText w:val="%3."/>
      <w:lvlJc w:val="right"/>
      <w:pPr>
        <w:tabs>
          <w:tab w:val="num" w:pos="3059"/>
        </w:tabs>
        <w:ind w:left="3059" w:hanging="180"/>
      </w:pPr>
    </w:lvl>
    <w:lvl w:ilvl="3" w:tplc="0416000F" w:tentative="1">
      <w:start w:val="1"/>
      <w:numFmt w:val="decimal"/>
      <w:lvlText w:val="%4."/>
      <w:lvlJc w:val="left"/>
      <w:pPr>
        <w:tabs>
          <w:tab w:val="num" w:pos="3779"/>
        </w:tabs>
        <w:ind w:left="3779" w:hanging="360"/>
      </w:pPr>
    </w:lvl>
    <w:lvl w:ilvl="4" w:tplc="04160019" w:tentative="1">
      <w:start w:val="1"/>
      <w:numFmt w:val="lowerLetter"/>
      <w:lvlText w:val="%5."/>
      <w:lvlJc w:val="left"/>
      <w:pPr>
        <w:tabs>
          <w:tab w:val="num" w:pos="4499"/>
        </w:tabs>
        <w:ind w:left="4499" w:hanging="360"/>
      </w:pPr>
    </w:lvl>
    <w:lvl w:ilvl="5" w:tplc="0416001B" w:tentative="1">
      <w:start w:val="1"/>
      <w:numFmt w:val="lowerRoman"/>
      <w:lvlText w:val="%6."/>
      <w:lvlJc w:val="right"/>
      <w:pPr>
        <w:tabs>
          <w:tab w:val="num" w:pos="5219"/>
        </w:tabs>
        <w:ind w:left="5219" w:hanging="180"/>
      </w:pPr>
    </w:lvl>
    <w:lvl w:ilvl="6" w:tplc="0416000F" w:tentative="1">
      <w:start w:val="1"/>
      <w:numFmt w:val="decimal"/>
      <w:lvlText w:val="%7."/>
      <w:lvlJc w:val="left"/>
      <w:pPr>
        <w:tabs>
          <w:tab w:val="num" w:pos="5939"/>
        </w:tabs>
        <w:ind w:left="5939" w:hanging="360"/>
      </w:pPr>
    </w:lvl>
    <w:lvl w:ilvl="7" w:tplc="04160019" w:tentative="1">
      <w:start w:val="1"/>
      <w:numFmt w:val="lowerLetter"/>
      <w:lvlText w:val="%8."/>
      <w:lvlJc w:val="left"/>
      <w:pPr>
        <w:tabs>
          <w:tab w:val="num" w:pos="6659"/>
        </w:tabs>
        <w:ind w:left="6659" w:hanging="360"/>
      </w:pPr>
    </w:lvl>
    <w:lvl w:ilvl="8" w:tplc="0416001B" w:tentative="1">
      <w:start w:val="1"/>
      <w:numFmt w:val="lowerRoman"/>
      <w:lvlText w:val="%9."/>
      <w:lvlJc w:val="right"/>
      <w:pPr>
        <w:tabs>
          <w:tab w:val="num" w:pos="7379"/>
        </w:tabs>
        <w:ind w:left="7379" w:hanging="180"/>
      </w:pPr>
    </w:lvl>
  </w:abstractNum>
  <w:abstractNum w:abstractNumId="20">
    <w:nsid w:val="68344F88"/>
    <w:multiLevelType w:val="hybridMultilevel"/>
    <w:tmpl w:val="267EF7A8"/>
    <w:lvl w:ilvl="0" w:tplc="04160017">
      <w:start w:val="1"/>
      <w:numFmt w:val="lowerLetter"/>
      <w:lvlText w:val="%1)"/>
      <w:lvlJc w:val="left"/>
      <w:pPr>
        <w:ind w:left="720" w:hanging="360"/>
      </w:pPr>
      <w:rPr>
        <w:rFonts w:eastAsia="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A8B3773"/>
    <w:multiLevelType w:val="hybridMultilevel"/>
    <w:tmpl w:val="5980F230"/>
    <w:lvl w:ilvl="0" w:tplc="6F50F1C2">
      <w:start w:val="1"/>
      <w:numFmt w:val="bullet"/>
      <w:lvlText w:val=""/>
      <w:lvlJc w:val="left"/>
      <w:pPr>
        <w:tabs>
          <w:tab w:val="num" w:pos="1068"/>
        </w:tabs>
        <w:ind w:left="1068" w:hanging="360"/>
      </w:pPr>
      <w:rPr>
        <w:rFonts w:ascii="Symbol" w:eastAsia="Times New Roman" w:hAnsi="Symbol" w:cs="Courier New" w:hint="default"/>
      </w:rPr>
    </w:lvl>
    <w:lvl w:ilvl="1" w:tplc="04160003" w:tentative="1">
      <w:start w:val="1"/>
      <w:numFmt w:val="bullet"/>
      <w:lvlText w:val="o"/>
      <w:lvlJc w:val="left"/>
      <w:pPr>
        <w:tabs>
          <w:tab w:val="num" w:pos="1788"/>
        </w:tabs>
        <w:ind w:left="1788" w:hanging="360"/>
      </w:pPr>
      <w:rPr>
        <w:rFonts w:ascii="Courier New" w:hAnsi="Courier New"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22">
    <w:nsid w:val="75D654C1"/>
    <w:multiLevelType w:val="multilevel"/>
    <w:tmpl w:val="7FB255D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num w:numId="1">
    <w:abstractNumId w:val="19"/>
  </w:num>
  <w:num w:numId="2">
    <w:abstractNumId w:val="2"/>
  </w:num>
  <w:num w:numId="3">
    <w:abstractNumId w:val="21"/>
  </w:num>
  <w:num w:numId="4">
    <w:abstractNumId w:val="4"/>
  </w:num>
  <w:num w:numId="5">
    <w:abstractNumId w:val="3"/>
  </w:num>
  <w:num w:numId="6">
    <w:abstractNumId w:val="10"/>
  </w:num>
  <w:num w:numId="7">
    <w:abstractNumId w:val="7"/>
  </w:num>
  <w:num w:numId="8">
    <w:abstractNumId w:val="11"/>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3"/>
  </w:num>
  <w:num w:numId="12">
    <w:abstractNumId w:val="1"/>
  </w:num>
  <w:num w:numId="13">
    <w:abstractNumId w:val="8"/>
  </w:num>
  <w:num w:numId="14">
    <w:abstractNumId w:val="9"/>
  </w:num>
  <w:num w:numId="15">
    <w:abstractNumId w:val="17"/>
  </w:num>
  <w:num w:numId="16">
    <w:abstractNumId w:val="0"/>
  </w:num>
  <w:num w:numId="17">
    <w:abstractNumId w:val="20"/>
  </w:num>
  <w:num w:numId="18">
    <w:abstractNumId w:val="18"/>
  </w:num>
  <w:num w:numId="19">
    <w:abstractNumId w:val="12"/>
  </w:num>
  <w:num w:numId="20">
    <w:abstractNumId w:val="14"/>
  </w:num>
  <w:num w:numId="21">
    <w:abstractNumId w:val="22"/>
  </w:num>
  <w:num w:numId="22">
    <w:abstractNumId w:val="15"/>
  </w:num>
  <w:num w:numId="23">
    <w:abstractNumId w:val="6"/>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7F0"/>
    <w:rsid w:val="00005AAA"/>
    <w:rsid w:val="0001120B"/>
    <w:rsid w:val="000115AE"/>
    <w:rsid w:val="00013533"/>
    <w:rsid w:val="000142F1"/>
    <w:rsid w:val="0002019C"/>
    <w:rsid w:val="0002049C"/>
    <w:rsid w:val="000211CA"/>
    <w:rsid w:val="000216E1"/>
    <w:rsid w:val="00026785"/>
    <w:rsid w:val="00026D18"/>
    <w:rsid w:val="00027B44"/>
    <w:rsid w:val="0003293A"/>
    <w:rsid w:val="00033759"/>
    <w:rsid w:val="00034111"/>
    <w:rsid w:val="00035BEC"/>
    <w:rsid w:val="00040C5E"/>
    <w:rsid w:val="00041901"/>
    <w:rsid w:val="000430AD"/>
    <w:rsid w:val="000445E4"/>
    <w:rsid w:val="000452FB"/>
    <w:rsid w:val="00045FFF"/>
    <w:rsid w:val="0005221E"/>
    <w:rsid w:val="00052282"/>
    <w:rsid w:val="00053120"/>
    <w:rsid w:val="0005447E"/>
    <w:rsid w:val="00061891"/>
    <w:rsid w:val="00061A82"/>
    <w:rsid w:val="000622BB"/>
    <w:rsid w:val="00063737"/>
    <w:rsid w:val="00072A81"/>
    <w:rsid w:val="00072BEC"/>
    <w:rsid w:val="00077A24"/>
    <w:rsid w:val="000902CC"/>
    <w:rsid w:val="000924B7"/>
    <w:rsid w:val="00094B09"/>
    <w:rsid w:val="000962FB"/>
    <w:rsid w:val="00097BDB"/>
    <w:rsid w:val="000A0E99"/>
    <w:rsid w:val="000B05F3"/>
    <w:rsid w:val="000B4EEB"/>
    <w:rsid w:val="000B562A"/>
    <w:rsid w:val="000B5C0F"/>
    <w:rsid w:val="000C0398"/>
    <w:rsid w:val="000C2389"/>
    <w:rsid w:val="000C5354"/>
    <w:rsid w:val="000C6831"/>
    <w:rsid w:val="000C751F"/>
    <w:rsid w:val="000D0425"/>
    <w:rsid w:val="000D14FA"/>
    <w:rsid w:val="000D2E46"/>
    <w:rsid w:val="000D3A8E"/>
    <w:rsid w:val="000D57D8"/>
    <w:rsid w:val="000E31C0"/>
    <w:rsid w:val="000E3C9F"/>
    <w:rsid w:val="000E65D9"/>
    <w:rsid w:val="000E6726"/>
    <w:rsid w:val="000F0AEE"/>
    <w:rsid w:val="000F14F8"/>
    <w:rsid w:val="000F19A6"/>
    <w:rsid w:val="000F4291"/>
    <w:rsid w:val="000F50AC"/>
    <w:rsid w:val="000F5485"/>
    <w:rsid w:val="00100CEF"/>
    <w:rsid w:val="0010181E"/>
    <w:rsid w:val="001030BD"/>
    <w:rsid w:val="00103E3B"/>
    <w:rsid w:val="001057C7"/>
    <w:rsid w:val="0010624A"/>
    <w:rsid w:val="00107222"/>
    <w:rsid w:val="00107754"/>
    <w:rsid w:val="001101DC"/>
    <w:rsid w:val="00111FB1"/>
    <w:rsid w:val="001123BB"/>
    <w:rsid w:val="00114B60"/>
    <w:rsid w:val="001164A9"/>
    <w:rsid w:val="001165BB"/>
    <w:rsid w:val="00117F80"/>
    <w:rsid w:val="00120278"/>
    <w:rsid w:val="00122B25"/>
    <w:rsid w:val="00135420"/>
    <w:rsid w:val="00135C54"/>
    <w:rsid w:val="00135DAC"/>
    <w:rsid w:val="00136930"/>
    <w:rsid w:val="00142EB3"/>
    <w:rsid w:val="0014544E"/>
    <w:rsid w:val="00145972"/>
    <w:rsid w:val="00150991"/>
    <w:rsid w:val="00160903"/>
    <w:rsid w:val="00162C0D"/>
    <w:rsid w:val="00164CF4"/>
    <w:rsid w:val="00164F11"/>
    <w:rsid w:val="00166AB7"/>
    <w:rsid w:val="00167936"/>
    <w:rsid w:val="0017078C"/>
    <w:rsid w:val="00172395"/>
    <w:rsid w:val="00172B28"/>
    <w:rsid w:val="00174720"/>
    <w:rsid w:val="00176203"/>
    <w:rsid w:val="001763B8"/>
    <w:rsid w:val="001779E2"/>
    <w:rsid w:val="001860B8"/>
    <w:rsid w:val="00186315"/>
    <w:rsid w:val="00190941"/>
    <w:rsid w:val="00191340"/>
    <w:rsid w:val="00195B51"/>
    <w:rsid w:val="001A18C6"/>
    <w:rsid w:val="001A3042"/>
    <w:rsid w:val="001A605D"/>
    <w:rsid w:val="001A6956"/>
    <w:rsid w:val="001A79AB"/>
    <w:rsid w:val="001B31C7"/>
    <w:rsid w:val="001B5C7A"/>
    <w:rsid w:val="001C1B36"/>
    <w:rsid w:val="001C22AE"/>
    <w:rsid w:val="001C3CF9"/>
    <w:rsid w:val="001C3EB2"/>
    <w:rsid w:val="001C6C6C"/>
    <w:rsid w:val="001C6D0B"/>
    <w:rsid w:val="001D2173"/>
    <w:rsid w:val="001E0CE6"/>
    <w:rsid w:val="001E0DF0"/>
    <w:rsid w:val="001E2A33"/>
    <w:rsid w:val="001E4D8A"/>
    <w:rsid w:val="001E7980"/>
    <w:rsid w:val="001F4828"/>
    <w:rsid w:val="001F57A1"/>
    <w:rsid w:val="001F6AED"/>
    <w:rsid w:val="00200444"/>
    <w:rsid w:val="00202D6A"/>
    <w:rsid w:val="00206C5E"/>
    <w:rsid w:val="00207655"/>
    <w:rsid w:val="00207C1F"/>
    <w:rsid w:val="002105B4"/>
    <w:rsid w:val="002174CD"/>
    <w:rsid w:val="00221D49"/>
    <w:rsid w:val="00222B21"/>
    <w:rsid w:val="00226284"/>
    <w:rsid w:val="002348F6"/>
    <w:rsid w:val="002357B9"/>
    <w:rsid w:val="00241B17"/>
    <w:rsid w:val="00253F25"/>
    <w:rsid w:val="00256CD5"/>
    <w:rsid w:val="00261F20"/>
    <w:rsid w:val="00267442"/>
    <w:rsid w:val="00271E14"/>
    <w:rsid w:val="002735BF"/>
    <w:rsid w:val="00275317"/>
    <w:rsid w:val="002758C4"/>
    <w:rsid w:val="00275C12"/>
    <w:rsid w:val="00275C1E"/>
    <w:rsid w:val="00276F4C"/>
    <w:rsid w:val="00283D5F"/>
    <w:rsid w:val="0028509B"/>
    <w:rsid w:val="002920A9"/>
    <w:rsid w:val="0029277C"/>
    <w:rsid w:val="00294065"/>
    <w:rsid w:val="00295FF3"/>
    <w:rsid w:val="002A07FF"/>
    <w:rsid w:val="002A4500"/>
    <w:rsid w:val="002B01A7"/>
    <w:rsid w:val="002B14EC"/>
    <w:rsid w:val="002B4628"/>
    <w:rsid w:val="002C7053"/>
    <w:rsid w:val="002D2347"/>
    <w:rsid w:val="002D4621"/>
    <w:rsid w:val="002D517B"/>
    <w:rsid w:val="002E37EE"/>
    <w:rsid w:val="002E5840"/>
    <w:rsid w:val="002E6496"/>
    <w:rsid w:val="002E6D55"/>
    <w:rsid w:val="002F0ED6"/>
    <w:rsid w:val="002F1985"/>
    <w:rsid w:val="002F57EA"/>
    <w:rsid w:val="003044ED"/>
    <w:rsid w:val="00304D68"/>
    <w:rsid w:val="003059BA"/>
    <w:rsid w:val="0031519A"/>
    <w:rsid w:val="00315A0A"/>
    <w:rsid w:val="0031626F"/>
    <w:rsid w:val="0031688D"/>
    <w:rsid w:val="00323D34"/>
    <w:rsid w:val="00331077"/>
    <w:rsid w:val="003334C2"/>
    <w:rsid w:val="00334EA8"/>
    <w:rsid w:val="0033594E"/>
    <w:rsid w:val="00340116"/>
    <w:rsid w:val="0034447E"/>
    <w:rsid w:val="003446B9"/>
    <w:rsid w:val="003475A2"/>
    <w:rsid w:val="00347849"/>
    <w:rsid w:val="003515AC"/>
    <w:rsid w:val="00354349"/>
    <w:rsid w:val="00357749"/>
    <w:rsid w:val="00360608"/>
    <w:rsid w:val="00360CF0"/>
    <w:rsid w:val="003640F0"/>
    <w:rsid w:val="0036484E"/>
    <w:rsid w:val="00365C93"/>
    <w:rsid w:val="00365D5D"/>
    <w:rsid w:val="00371DEB"/>
    <w:rsid w:val="003764A8"/>
    <w:rsid w:val="00376A0A"/>
    <w:rsid w:val="0037734B"/>
    <w:rsid w:val="0038004D"/>
    <w:rsid w:val="003832DC"/>
    <w:rsid w:val="0038430F"/>
    <w:rsid w:val="00390EE2"/>
    <w:rsid w:val="00391EE8"/>
    <w:rsid w:val="0039634C"/>
    <w:rsid w:val="00397AA9"/>
    <w:rsid w:val="003A00EB"/>
    <w:rsid w:val="003A300D"/>
    <w:rsid w:val="003A4C24"/>
    <w:rsid w:val="003A6E86"/>
    <w:rsid w:val="003B57F2"/>
    <w:rsid w:val="003C750F"/>
    <w:rsid w:val="003C7A7D"/>
    <w:rsid w:val="003D444B"/>
    <w:rsid w:val="003E49EE"/>
    <w:rsid w:val="003E51EF"/>
    <w:rsid w:val="003E63D2"/>
    <w:rsid w:val="003E6C10"/>
    <w:rsid w:val="003F46F2"/>
    <w:rsid w:val="00400A40"/>
    <w:rsid w:val="004070CA"/>
    <w:rsid w:val="00410792"/>
    <w:rsid w:val="0041138C"/>
    <w:rsid w:val="00412E11"/>
    <w:rsid w:val="0041683C"/>
    <w:rsid w:val="00421384"/>
    <w:rsid w:val="00422A10"/>
    <w:rsid w:val="004242D1"/>
    <w:rsid w:val="00437E67"/>
    <w:rsid w:val="00441FE8"/>
    <w:rsid w:val="004435CE"/>
    <w:rsid w:val="00446E11"/>
    <w:rsid w:val="0045219A"/>
    <w:rsid w:val="0045375B"/>
    <w:rsid w:val="00453A1D"/>
    <w:rsid w:val="0045654D"/>
    <w:rsid w:val="004614A4"/>
    <w:rsid w:val="00465A53"/>
    <w:rsid w:val="00470A43"/>
    <w:rsid w:val="00471AEC"/>
    <w:rsid w:val="0047487E"/>
    <w:rsid w:val="00483761"/>
    <w:rsid w:val="0048388F"/>
    <w:rsid w:val="004841D5"/>
    <w:rsid w:val="00485C23"/>
    <w:rsid w:val="004860A5"/>
    <w:rsid w:val="00486F5B"/>
    <w:rsid w:val="0049135D"/>
    <w:rsid w:val="00491C36"/>
    <w:rsid w:val="00491C5C"/>
    <w:rsid w:val="0049209B"/>
    <w:rsid w:val="004928AC"/>
    <w:rsid w:val="00493AF3"/>
    <w:rsid w:val="004A1935"/>
    <w:rsid w:val="004A7DC8"/>
    <w:rsid w:val="004B50A3"/>
    <w:rsid w:val="004B5A45"/>
    <w:rsid w:val="004B7F6F"/>
    <w:rsid w:val="004C3B98"/>
    <w:rsid w:val="004C4F43"/>
    <w:rsid w:val="004C5571"/>
    <w:rsid w:val="004C7E4D"/>
    <w:rsid w:val="004D077E"/>
    <w:rsid w:val="004D2225"/>
    <w:rsid w:val="004D2955"/>
    <w:rsid w:val="004D3484"/>
    <w:rsid w:val="004D39F9"/>
    <w:rsid w:val="004D67F7"/>
    <w:rsid w:val="004E0AB4"/>
    <w:rsid w:val="004E0D3D"/>
    <w:rsid w:val="004E3726"/>
    <w:rsid w:val="004E3A62"/>
    <w:rsid w:val="004E3AA7"/>
    <w:rsid w:val="004E57C1"/>
    <w:rsid w:val="004E5C84"/>
    <w:rsid w:val="004E69AC"/>
    <w:rsid w:val="004F3970"/>
    <w:rsid w:val="004F3E72"/>
    <w:rsid w:val="004F4656"/>
    <w:rsid w:val="004F5604"/>
    <w:rsid w:val="00502D9A"/>
    <w:rsid w:val="005055A7"/>
    <w:rsid w:val="00505F29"/>
    <w:rsid w:val="005122D1"/>
    <w:rsid w:val="00516407"/>
    <w:rsid w:val="00517019"/>
    <w:rsid w:val="0051753F"/>
    <w:rsid w:val="005210E8"/>
    <w:rsid w:val="00523EE4"/>
    <w:rsid w:val="005253AE"/>
    <w:rsid w:val="00525C0D"/>
    <w:rsid w:val="00525EE5"/>
    <w:rsid w:val="00526355"/>
    <w:rsid w:val="005317FA"/>
    <w:rsid w:val="0053191C"/>
    <w:rsid w:val="0053485F"/>
    <w:rsid w:val="005379DB"/>
    <w:rsid w:val="00541A5A"/>
    <w:rsid w:val="0054344C"/>
    <w:rsid w:val="00544438"/>
    <w:rsid w:val="005453F6"/>
    <w:rsid w:val="00546518"/>
    <w:rsid w:val="00552450"/>
    <w:rsid w:val="00552E84"/>
    <w:rsid w:val="0055365E"/>
    <w:rsid w:val="00553B96"/>
    <w:rsid w:val="00554F09"/>
    <w:rsid w:val="0055590D"/>
    <w:rsid w:val="00567309"/>
    <w:rsid w:val="005741C0"/>
    <w:rsid w:val="00574324"/>
    <w:rsid w:val="00574476"/>
    <w:rsid w:val="005839B9"/>
    <w:rsid w:val="00586369"/>
    <w:rsid w:val="0059149D"/>
    <w:rsid w:val="00591F56"/>
    <w:rsid w:val="0059479B"/>
    <w:rsid w:val="00596594"/>
    <w:rsid w:val="005974ED"/>
    <w:rsid w:val="005B3022"/>
    <w:rsid w:val="005B7AD2"/>
    <w:rsid w:val="005C0067"/>
    <w:rsid w:val="005C0266"/>
    <w:rsid w:val="005C05C8"/>
    <w:rsid w:val="005C2DE4"/>
    <w:rsid w:val="005C3546"/>
    <w:rsid w:val="005C551F"/>
    <w:rsid w:val="005D43E4"/>
    <w:rsid w:val="005D5F15"/>
    <w:rsid w:val="005E3253"/>
    <w:rsid w:val="005E39DA"/>
    <w:rsid w:val="005E5EA9"/>
    <w:rsid w:val="005F1AEF"/>
    <w:rsid w:val="005F295D"/>
    <w:rsid w:val="005F621E"/>
    <w:rsid w:val="00602EAF"/>
    <w:rsid w:val="00604E14"/>
    <w:rsid w:val="00605EC2"/>
    <w:rsid w:val="006110BC"/>
    <w:rsid w:val="00611ADB"/>
    <w:rsid w:val="00612301"/>
    <w:rsid w:val="00613130"/>
    <w:rsid w:val="00613845"/>
    <w:rsid w:val="00615A72"/>
    <w:rsid w:val="00615A97"/>
    <w:rsid w:val="00616AD5"/>
    <w:rsid w:val="006176E6"/>
    <w:rsid w:val="00621053"/>
    <w:rsid w:val="00622040"/>
    <w:rsid w:val="00623EF9"/>
    <w:rsid w:val="00625C63"/>
    <w:rsid w:val="006267B8"/>
    <w:rsid w:val="00626D9F"/>
    <w:rsid w:val="006311AB"/>
    <w:rsid w:val="006358A3"/>
    <w:rsid w:val="00641929"/>
    <w:rsid w:val="00641C60"/>
    <w:rsid w:val="006426EA"/>
    <w:rsid w:val="006428F6"/>
    <w:rsid w:val="00642A10"/>
    <w:rsid w:val="00655806"/>
    <w:rsid w:val="00656032"/>
    <w:rsid w:val="00660AA9"/>
    <w:rsid w:val="00662836"/>
    <w:rsid w:val="00663DFD"/>
    <w:rsid w:val="006644F4"/>
    <w:rsid w:val="006677ED"/>
    <w:rsid w:val="00675BA8"/>
    <w:rsid w:val="006765C0"/>
    <w:rsid w:val="0068069D"/>
    <w:rsid w:val="00686A37"/>
    <w:rsid w:val="00690BF4"/>
    <w:rsid w:val="00693BE7"/>
    <w:rsid w:val="00695F54"/>
    <w:rsid w:val="00697B3B"/>
    <w:rsid w:val="006A0416"/>
    <w:rsid w:val="006A2842"/>
    <w:rsid w:val="006A3B47"/>
    <w:rsid w:val="006A6531"/>
    <w:rsid w:val="006A74E5"/>
    <w:rsid w:val="006B28B9"/>
    <w:rsid w:val="006B4EC2"/>
    <w:rsid w:val="006B65FF"/>
    <w:rsid w:val="006B75C8"/>
    <w:rsid w:val="006B7EB4"/>
    <w:rsid w:val="006C05B1"/>
    <w:rsid w:val="006C4E15"/>
    <w:rsid w:val="006D3573"/>
    <w:rsid w:val="006D70DC"/>
    <w:rsid w:val="006E1BAA"/>
    <w:rsid w:val="006E5E9D"/>
    <w:rsid w:val="006E6011"/>
    <w:rsid w:val="006E7F89"/>
    <w:rsid w:val="006F03F0"/>
    <w:rsid w:val="006F0CEB"/>
    <w:rsid w:val="006F2CB5"/>
    <w:rsid w:val="006F32A4"/>
    <w:rsid w:val="00701162"/>
    <w:rsid w:val="0070166F"/>
    <w:rsid w:val="00702705"/>
    <w:rsid w:val="007060FF"/>
    <w:rsid w:val="007121DF"/>
    <w:rsid w:val="0071276D"/>
    <w:rsid w:val="0071359F"/>
    <w:rsid w:val="0071780D"/>
    <w:rsid w:val="00717E5C"/>
    <w:rsid w:val="00735EAA"/>
    <w:rsid w:val="00736C31"/>
    <w:rsid w:val="00737D6E"/>
    <w:rsid w:val="00741178"/>
    <w:rsid w:val="00742378"/>
    <w:rsid w:val="00745E8C"/>
    <w:rsid w:val="007461A0"/>
    <w:rsid w:val="00746760"/>
    <w:rsid w:val="00746948"/>
    <w:rsid w:val="00747729"/>
    <w:rsid w:val="00747827"/>
    <w:rsid w:val="00750F6C"/>
    <w:rsid w:val="0075151F"/>
    <w:rsid w:val="00752344"/>
    <w:rsid w:val="00755574"/>
    <w:rsid w:val="00757AB0"/>
    <w:rsid w:val="00760E81"/>
    <w:rsid w:val="00773483"/>
    <w:rsid w:val="007763D6"/>
    <w:rsid w:val="007810EF"/>
    <w:rsid w:val="00781D2E"/>
    <w:rsid w:val="007835B6"/>
    <w:rsid w:val="00783E58"/>
    <w:rsid w:val="00791DFF"/>
    <w:rsid w:val="00797A9E"/>
    <w:rsid w:val="007A7196"/>
    <w:rsid w:val="007B0BCD"/>
    <w:rsid w:val="007B575F"/>
    <w:rsid w:val="007C0B96"/>
    <w:rsid w:val="007C3DC3"/>
    <w:rsid w:val="007C4BFE"/>
    <w:rsid w:val="007D4DE1"/>
    <w:rsid w:val="007E0CDF"/>
    <w:rsid w:val="007E341E"/>
    <w:rsid w:val="007F6A2C"/>
    <w:rsid w:val="007F6ED3"/>
    <w:rsid w:val="007F7557"/>
    <w:rsid w:val="008008A4"/>
    <w:rsid w:val="00803098"/>
    <w:rsid w:val="00804202"/>
    <w:rsid w:val="00807200"/>
    <w:rsid w:val="008111B9"/>
    <w:rsid w:val="0081291D"/>
    <w:rsid w:val="00813E18"/>
    <w:rsid w:val="00815103"/>
    <w:rsid w:val="008214FE"/>
    <w:rsid w:val="00825024"/>
    <w:rsid w:val="00827156"/>
    <w:rsid w:val="008278BA"/>
    <w:rsid w:val="008317ED"/>
    <w:rsid w:val="00831F4C"/>
    <w:rsid w:val="008350B0"/>
    <w:rsid w:val="00840A60"/>
    <w:rsid w:val="00844267"/>
    <w:rsid w:val="0084596C"/>
    <w:rsid w:val="008477F3"/>
    <w:rsid w:val="008546B6"/>
    <w:rsid w:val="00856513"/>
    <w:rsid w:val="008711CB"/>
    <w:rsid w:val="00872735"/>
    <w:rsid w:val="00872C05"/>
    <w:rsid w:val="00873EE8"/>
    <w:rsid w:val="00875295"/>
    <w:rsid w:val="00880607"/>
    <w:rsid w:val="00881F86"/>
    <w:rsid w:val="00891E1E"/>
    <w:rsid w:val="008A041C"/>
    <w:rsid w:val="008A56DA"/>
    <w:rsid w:val="008A5B79"/>
    <w:rsid w:val="008B238A"/>
    <w:rsid w:val="008B3632"/>
    <w:rsid w:val="008B3B74"/>
    <w:rsid w:val="008C4B0C"/>
    <w:rsid w:val="008C7317"/>
    <w:rsid w:val="008C7B6D"/>
    <w:rsid w:val="008D238E"/>
    <w:rsid w:val="008D2848"/>
    <w:rsid w:val="008D6EF3"/>
    <w:rsid w:val="008D7BCC"/>
    <w:rsid w:val="008E09F7"/>
    <w:rsid w:val="008E3DFB"/>
    <w:rsid w:val="008E52C0"/>
    <w:rsid w:val="008F0070"/>
    <w:rsid w:val="008F02CA"/>
    <w:rsid w:val="008F6325"/>
    <w:rsid w:val="008F6CB2"/>
    <w:rsid w:val="00900D84"/>
    <w:rsid w:val="00910DF3"/>
    <w:rsid w:val="0091292F"/>
    <w:rsid w:val="00914056"/>
    <w:rsid w:val="00920819"/>
    <w:rsid w:val="009247F6"/>
    <w:rsid w:val="00933878"/>
    <w:rsid w:val="00934435"/>
    <w:rsid w:val="0093689F"/>
    <w:rsid w:val="009455AB"/>
    <w:rsid w:val="00946F3E"/>
    <w:rsid w:val="00952836"/>
    <w:rsid w:val="00952CA5"/>
    <w:rsid w:val="0096522E"/>
    <w:rsid w:val="00966E19"/>
    <w:rsid w:val="00971D4B"/>
    <w:rsid w:val="00976614"/>
    <w:rsid w:val="00982C92"/>
    <w:rsid w:val="00993809"/>
    <w:rsid w:val="0099492A"/>
    <w:rsid w:val="00995569"/>
    <w:rsid w:val="00995F2B"/>
    <w:rsid w:val="009A2360"/>
    <w:rsid w:val="009A2D1A"/>
    <w:rsid w:val="009A6D5A"/>
    <w:rsid w:val="009A6FAC"/>
    <w:rsid w:val="009B33BA"/>
    <w:rsid w:val="009B53CF"/>
    <w:rsid w:val="009B5416"/>
    <w:rsid w:val="009B5B6A"/>
    <w:rsid w:val="009C28F4"/>
    <w:rsid w:val="009C5132"/>
    <w:rsid w:val="009C7614"/>
    <w:rsid w:val="009C7B32"/>
    <w:rsid w:val="009D40EE"/>
    <w:rsid w:val="009D6A5B"/>
    <w:rsid w:val="009D70A0"/>
    <w:rsid w:val="009E2EB1"/>
    <w:rsid w:val="009E4395"/>
    <w:rsid w:val="009E6CC6"/>
    <w:rsid w:val="009E7295"/>
    <w:rsid w:val="009E78C2"/>
    <w:rsid w:val="009F587F"/>
    <w:rsid w:val="00A0232E"/>
    <w:rsid w:val="00A031C3"/>
    <w:rsid w:val="00A10053"/>
    <w:rsid w:val="00A14A8A"/>
    <w:rsid w:val="00A1515E"/>
    <w:rsid w:val="00A15C42"/>
    <w:rsid w:val="00A23FBB"/>
    <w:rsid w:val="00A26960"/>
    <w:rsid w:val="00A32A55"/>
    <w:rsid w:val="00A32D6B"/>
    <w:rsid w:val="00A333D9"/>
    <w:rsid w:val="00A35392"/>
    <w:rsid w:val="00A36DCA"/>
    <w:rsid w:val="00A37CC4"/>
    <w:rsid w:val="00A40383"/>
    <w:rsid w:val="00A51666"/>
    <w:rsid w:val="00A523FD"/>
    <w:rsid w:val="00A53D1B"/>
    <w:rsid w:val="00A560BD"/>
    <w:rsid w:val="00A6149D"/>
    <w:rsid w:val="00A63EE5"/>
    <w:rsid w:val="00A64EDD"/>
    <w:rsid w:val="00A65F41"/>
    <w:rsid w:val="00A6662B"/>
    <w:rsid w:val="00A75D75"/>
    <w:rsid w:val="00A82F68"/>
    <w:rsid w:val="00A861B7"/>
    <w:rsid w:val="00A865B1"/>
    <w:rsid w:val="00A96B15"/>
    <w:rsid w:val="00A97C6A"/>
    <w:rsid w:val="00AA3EA9"/>
    <w:rsid w:val="00AA61A0"/>
    <w:rsid w:val="00AA7D7E"/>
    <w:rsid w:val="00AB0CF9"/>
    <w:rsid w:val="00AB1CB5"/>
    <w:rsid w:val="00AB3625"/>
    <w:rsid w:val="00AB423B"/>
    <w:rsid w:val="00AB57A6"/>
    <w:rsid w:val="00AC1595"/>
    <w:rsid w:val="00AC549C"/>
    <w:rsid w:val="00AD15DE"/>
    <w:rsid w:val="00AD3646"/>
    <w:rsid w:val="00AE5065"/>
    <w:rsid w:val="00AF0174"/>
    <w:rsid w:val="00AF2ECA"/>
    <w:rsid w:val="00AF4FD8"/>
    <w:rsid w:val="00AF68F6"/>
    <w:rsid w:val="00AF762D"/>
    <w:rsid w:val="00AF7B15"/>
    <w:rsid w:val="00B019A2"/>
    <w:rsid w:val="00B04D62"/>
    <w:rsid w:val="00B061CF"/>
    <w:rsid w:val="00B07B80"/>
    <w:rsid w:val="00B15B50"/>
    <w:rsid w:val="00B17527"/>
    <w:rsid w:val="00B22422"/>
    <w:rsid w:val="00B237A1"/>
    <w:rsid w:val="00B27354"/>
    <w:rsid w:val="00B27F5B"/>
    <w:rsid w:val="00B30FEB"/>
    <w:rsid w:val="00B332C0"/>
    <w:rsid w:val="00B33D4E"/>
    <w:rsid w:val="00B352D6"/>
    <w:rsid w:val="00B37A62"/>
    <w:rsid w:val="00B41D4C"/>
    <w:rsid w:val="00B503C1"/>
    <w:rsid w:val="00B50581"/>
    <w:rsid w:val="00B50626"/>
    <w:rsid w:val="00B5077F"/>
    <w:rsid w:val="00B54138"/>
    <w:rsid w:val="00B556DD"/>
    <w:rsid w:val="00B71C64"/>
    <w:rsid w:val="00B73DB0"/>
    <w:rsid w:val="00B777C7"/>
    <w:rsid w:val="00B77F3D"/>
    <w:rsid w:val="00B836DC"/>
    <w:rsid w:val="00B83FC9"/>
    <w:rsid w:val="00B86402"/>
    <w:rsid w:val="00B93524"/>
    <w:rsid w:val="00B9573D"/>
    <w:rsid w:val="00B95BE9"/>
    <w:rsid w:val="00BA03FD"/>
    <w:rsid w:val="00BA0E33"/>
    <w:rsid w:val="00BA35BD"/>
    <w:rsid w:val="00BB33B3"/>
    <w:rsid w:val="00BB4870"/>
    <w:rsid w:val="00BB4EBE"/>
    <w:rsid w:val="00BB56B8"/>
    <w:rsid w:val="00BC1308"/>
    <w:rsid w:val="00BD126A"/>
    <w:rsid w:val="00BD37A9"/>
    <w:rsid w:val="00BD37F0"/>
    <w:rsid w:val="00BE1031"/>
    <w:rsid w:val="00BE24D7"/>
    <w:rsid w:val="00BE7A72"/>
    <w:rsid w:val="00BF07EC"/>
    <w:rsid w:val="00BF0E93"/>
    <w:rsid w:val="00BF1893"/>
    <w:rsid w:val="00BF1A2C"/>
    <w:rsid w:val="00BF2C46"/>
    <w:rsid w:val="00BF52AB"/>
    <w:rsid w:val="00C00C13"/>
    <w:rsid w:val="00C0665D"/>
    <w:rsid w:val="00C067AF"/>
    <w:rsid w:val="00C076FF"/>
    <w:rsid w:val="00C1321D"/>
    <w:rsid w:val="00C14787"/>
    <w:rsid w:val="00C21E53"/>
    <w:rsid w:val="00C24376"/>
    <w:rsid w:val="00C25D6F"/>
    <w:rsid w:val="00C27150"/>
    <w:rsid w:val="00C301F5"/>
    <w:rsid w:val="00C31127"/>
    <w:rsid w:val="00C31BD6"/>
    <w:rsid w:val="00C3616E"/>
    <w:rsid w:val="00C36357"/>
    <w:rsid w:val="00C40984"/>
    <w:rsid w:val="00C43088"/>
    <w:rsid w:val="00C52B8B"/>
    <w:rsid w:val="00C53B1E"/>
    <w:rsid w:val="00C5431E"/>
    <w:rsid w:val="00C6076A"/>
    <w:rsid w:val="00C64D89"/>
    <w:rsid w:val="00C657E2"/>
    <w:rsid w:val="00C675C2"/>
    <w:rsid w:val="00C76B4F"/>
    <w:rsid w:val="00C80B1B"/>
    <w:rsid w:val="00C83094"/>
    <w:rsid w:val="00C83924"/>
    <w:rsid w:val="00C83B52"/>
    <w:rsid w:val="00C84940"/>
    <w:rsid w:val="00C860DB"/>
    <w:rsid w:val="00C91379"/>
    <w:rsid w:val="00C91FB8"/>
    <w:rsid w:val="00C93C8E"/>
    <w:rsid w:val="00C940D3"/>
    <w:rsid w:val="00C94BF6"/>
    <w:rsid w:val="00C9589C"/>
    <w:rsid w:val="00C960A0"/>
    <w:rsid w:val="00C9651B"/>
    <w:rsid w:val="00C96F90"/>
    <w:rsid w:val="00C97E37"/>
    <w:rsid w:val="00CA121E"/>
    <w:rsid w:val="00CA1220"/>
    <w:rsid w:val="00CA73E3"/>
    <w:rsid w:val="00CB03A8"/>
    <w:rsid w:val="00CB174D"/>
    <w:rsid w:val="00CB18BA"/>
    <w:rsid w:val="00CB1E91"/>
    <w:rsid w:val="00CB3C2A"/>
    <w:rsid w:val="00CC1959"/>
    <w:rsid w:val="00CD1AA2"/>
    <w:rsid w:val="00CD1C74"/>
    <w:rsid w:val="00CD21CB"/>
    <w:rsid w:val="00CD2390"/>
    <w:rsid w:val="00CE15EE"/>
    <w:rsid w:val="00CE1FEE"/>
    <w:rsid w:val="00CE2FB2"/>
    <w:rsid w:val="00CE36DD"/>
    <w:rsid w:val="00CE3C30"/>
    <w:rsid w:val="00CE42E1"/>
    <w:rsid w:val="00CE4A67"/>
    <w:rsid w:val="00CE6315"/>
    <w:rsid w:val="00CF4387"/>
    <w:rsid w:val="00CF445B"/>
    <w:rsid w:val="00CF6915"/>
    <w:rsid w:val="00D01917"/>
    <w:rsid w:val="00D05FC0"/>
    <w:rsid w:val="00D07FFC"/>
    <w:rsid w:val="00D1377D"/>
    <w:rsid w:val="00D168AC"/>
    <w:rsid w:val="00D2288C"/>
    <w:rsid w:val="00D412A3"/>
    <w:rsid w:val="00D43443"/>
    <w:rsid w:val="00D442AD"/>
    <w:rsid w:val="00D442B9"/>
    <w:rsid w:val="00D45462"/>
    <w:rsid w:val="00D53C82"/>
    <w:rsid w:val="00D53FF0"/>
    <w:rsid w:val="00D546FE"/>
    <w:rsid w:val="00D64EBF"/>
    <w:rsid w:val="00D65622"/>
    <w:rsid w:val="00D6604C"/>
    <w:rsid w:val="00D70A90"/>
    <w:rsid w:val="00D729DD"/>
    <w:rsid w:val="00D7415C"/>
    <w:rsid w:val="00D74A7E"/>
    <w:rsid w:val="00D75811"/>
    <w:rsid w:val="00D76BDB"/>
    <w:rsid w:val="00D800A9"/>
    <w:rsid w:val="00D87048"/>
    <w:rsid w:val="00D9009B"/>
    <w:rsid w:val="00D90AB7"/>
    <w:rsid w:val="00D960B5"/>
    <w:rsid w:val="00DA1718"/>
    <w:rsid w:val="00DA1829"/>
    <w:rsid w:val="00DA2724"/>
    <w:rsid w:val="00DA6D51"/>
    <w:rsid w:val="00DA7BEB"/>
    <w:rsid w:val="00DB269C"/>
    <w:rsid w:val="00DB5580"/>
    <w:rsid w:val="00DB6F7B"/>
    <w:rsid w:val="00DB70D3"/>
    <w:rsid w:val="00DC08A4"/>
    <w:rsid w:val="00DC0908"/>
    <w:rsid w:val="00DC332C"/>
    <w:rsid w:val="00DD0AFF"/>
    <w:rsid w:val="00DD270C"/>
    <w:rsid w:val="00DE0C8E"/>
    <w:rsid w:val="00DE1840"/>
    <w:rsid w:val="00DE638F"/>
    <w:rsid w:val="00DE795C"/>
    <w:rsid w:val="00DF1136"/>
    <w:rsid w:val="00DF21E8"/>
    <w:rsid w:val="00DF3497"/>
    <w:rsid w:val="00DF3EA7"/>
    <w:rsid w:val="00DF4A57"/>
    <w:rsid w:val="00DF6DC2"/>
    <w:rsid w:val="00DF75BC"/>
    <w:rsid w:val="00E0393D"/>
    <w:rsid w:val="00E03E7A"/>
    <w:rsid w:val="00E05B91"/>
    <w:rsid w:val="00E0790F"/>
    <w:rsid w:val="00E07F53"/>
    <w:rsid w:val="00E10FA6"/>
    <w:rsid w:val="00E11F7C"/>
    <w:rsid w:val="00E17B08"/>
    <w:rsid w:val="00E27015"/>
    <w:rsid w:val="00E302A1"/>
    <w:rsid w:val="00E36CEB"/>
    <w:rsid w:val="00E44D23"/>
    <w:rsid w:val="00E474D8"/>
    <w:rsid w:val="00E50C50"/>
    <w:rsid w:val="00E50D86"/>
    <w:rsid w:val="00E51CAA"/>
    <w:rsid w:val="00E540AE"/>
    <w:rsid w:val="00E554BE"/>
    <w:rsid w:val="00E61B7D"/>
    <w:rsid w:val="00E622D8"/>
    <w:rsid w:val="00E650EF"/>
    <w:rsid w:val="00E7259D"/>
    <w:rsid w:val="00E74DE5"/>
    <w:rsid w:val="00E81646"/>
    <w:rsid w:val="00E8635F"/>
    <w:rsid w:val="00E87CCA"/>
    <w:rsid w:val="00E94894"/>
    <w:rsid w:val="00E978FB"/>
    <w:rsid w:val="00EA14A7"/>
    <w:rsid w:val="00EA2914"/>
    <w:rsid w:val="00EA7CCB"/>
    <w:rsid w:val="00EB40D4"/>
    <w:rsid w:val="00EB6328"/>
    <w:rsid w:val="00EB65CC"/>
    <w:rsid w:val="00EB730C"/>
    <w:rsid w:val="00EC1440"/>
    <w:rsid w:val="00EC2A1F"/>
    <w:rsid w:val="00EC3486"/>
    <w:rsid w:val="00ED5C8C"/>
    <w:rsid w:val="00ED7BC8"/>
    <w:rsid w:val="00EE47A3"/>
    <w:rsid w:val="00EE7375"/>
    <w:rsid w:val="00EE7758"/>
    <w:rsid w:val="00EF3A83"/>
    <w:rsid w:val="00EF5828"/>
    <w:rsid w:val="00EF69EF"/>
    <w:rsid w:val="00EF6EED"/>
    <w:rsid w:val="00F01F12"/>
    <w:rsid w:val="00F02226"/>
    <w:rsid w:val="00F0308E"/>
    <w:rsid w:val="00F03F80"/>
    <w:rsid w:val="00F0452B"/>
    <w:rsid w:val="00F10E39"/>
    <w:rsid w:val="00F1317A"/>
    <w:rsid w:val="00F20EB6"/>
    <w:rsid w:val="00F20F98"/>
    <w:rsid w:val="00F27A3B"/>
    <w:rsid w:val="00F31D9D"/>
    <w:rsid w:val="00F36855"/>
    <w:rsid w:val="00F375C4"/>
    <w:rsid w:val="00F43913"/>
    <w:rsid w:val="00F43F50"/>
    <w:rsid w:val="00F50210"/>
    <w:rsid w:val="00F541EA"/>
    <w:rsid w:val="00F54A36"/>
    <w:rsid w:val="00F629C9"/>
    <w:rsid w:val="00F65A16"/>
    <w:rsid w:val="00F67D8D"/>
    <w:rsid w:val="00F7415B"/>
    <w:rsid w:val="00F74F01"/>
    <w:rsid w:val="00F75923"/>
    <w:rsid w:val="00F76915"/>
    <w:rsid w:val="00F81B67"/>
    <w:rsid w:val="00F83FF3"/>
    <w:rsid w:val="00F8445B"/>
    <w:rsid w:val="00F84F71"/>
    <w:rsid w:val="00F904A2"/>
    <w:rsid w:val="00F94385"/>
    <w:rsid w:val="00F94889"/>
    <w:rsid w:val="00F9491A"/>
    <w:rsid w:val="00F95CB8"/>
    <w:rsid w:val="00F9650B"/>
    <w:rsid w:val="00FA168E"/>
    <w:rsid w:val="00FA590F"/>
    <w:rsid w:val="00FB1EB6"/>
    <w:rsid w:val="00FB1F89"/>
    <w:rsid w:val="00FB31B4"/>
    <w:rsid w:val="00FB587C"/>
    <w:rsid w:val="00FB62BF"/>
    <w:rsid w:val="00FB62D4"/>
    <w:rsid w:val="00FC03ED"/>
    <w:rsid w:val="00FC5A61"/>
    <w:rsid w:val="00FC7FFC"/>
    <w:rsid w:val="00FD031C"/>
    <w:rsid w:val="00FD5389"/>
    <w:rsid w:val="00FD6567"/>
    <w:rsid w:val="00FD7796"/>
    <w:rsid w:val="00FE11A1"/>
    <w:rsid w:val="00FE5C61"/>
    <w:rsid w:val="00FF15E6"/>
    <w:rsid w:val="00FF1C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C49739B-D311-405B-956B-196002EC4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60" w:lineRule="auto"/>
    </w:pPr>
    <w:rPr>
      <w:sz w:val="24"/>
      <w:szCs w:val="24"/>
    </w:rPr>
  </w:style>
  <w:style w:type="paragraph" w:styleId="Ttulo1">
    <w:name w:val="heading 1"/>
    <w:basedOn w:val="Normal"/>
    <w:next w:val="Normal"/>
    <w:qFormat/>
    <w:pPr>
      <w:keepNext/>
      <w:ind w:firstLine="708"/>
      <w:jc w:val="both"/>
      <w:outlineLvl w:val="0"/>
    </w:pPr>
    <w:rPr>
      <w:rFonts w:ascii="Verdana" w:hAnsi="Verdana" w:cs="Arial"/>
      <w:color w:val="000000"/>
      <w:sz w:val="28"/>
      <w:szCs w:val="27"/>
      <w:vertAlign w:val="subscript"/>
    </w:rPr>
  </w:style>
  <w:style w:type="paragraph" w:styleId="Ttulo2">
    <w:name w:val="heading 2"/>
    <w:basedOn w:val="Normal"/>
    <w:next w:val="Normal"/>
    <w:link w:val="Ttulo2Char"/>
    <w:qFormat/>
    <w:pPr>
      <w:keepNext/>
      <w:ind w:left="1260"/>
      <w:jc w:val="both"/>
      <w:outlineLvl w:val="1"/>
    </w:pPr>
    <w:rPr>
      <w:rFonts w:ascii="Book Antiqua" w:hAnsi="Book Antiqua"/>
      <w:b/>
      <w:bCs/>
      <w:sz w:val="28"/>
      <w:u w:val="single"/>
    </w:rPr>
  </w:style>
  <w:style w:type="paragraph" w:styleId="Ttulo3">
    <w:name w:val="heading 3"/>
    <w:basedOn w:val="Normal"/>
    <w:next w:val="Normal"/>
    <w:qFormat/>
    <w:pPr>
      <w:keepNext/>
      <w:jc w:val="center"/>
      <w:outlineLvl w:val="2"/>
    </w:pPr>
    <w:rPr>
      <w:rFonts w:ascii="Courier New" w:hAnsi="Courier New" w:cs="Courier New"/>
      <w:b/>
      <w:bCs/>
    </w:rPr>
  </w:style>
  <w:style w:type="paragraph" w:styleId="Ttulo4">
    <w:name w:val="heading 4"/>
    <w:basedOn w:val="Normal"/>
    <w:next w:val="Normal"/>
    <w:qFormat/>
    <w:pPr>
      <w:keepNext/>
      <w:jc w:val="center"/>
      <w:outlineLvl w:val="3"/>
    </w:pPr>
    <w:rPr>
      <w:rFonts w:ascii="Courier New" w:hAnsi="Courier New" w:cs="Courier New"/>
      <w:b/>
      <w:bCs/>
      <w:sz w:val="22"/>
    </w:rPr>
  </w:style>
  <w:style w:type="paragraph" w:styleId="Ttulo5">
    <w:name w:val="heading 5"/>
    <w:basedOn w:val="Normal"/>
    <w:next w:val="Normal"/>
    <w:qFormat/>
    <w:pPr>
      <w:keepNext/>
      <w:jc w:val="center"/>
      <w:outlineLvl w:val="4"/>
    </w:pPr>
    <w:rPr>
      <w:rFonts w:ascii="Courier New" w:hAnsi="Courier New" w:cs="Courier New"/>
      <w:b/>
      <w:bCs/>
      <w:sz w:val="3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pPr>
      <w:spacing w:before="100" w:beforeAutospacing="1" w:after="100" w:afterAutospacing="1"/>
    </w:pPr>
    <w:rPr>
      <w:color w:val="000000"/>
    </w:rPr>
  </w:style>
  <w:style w:type="paragraph" w:styleId="Recuodecorpodetexto3">
    <w:name w:val="Body Text Indent 3"/>
    <w:basedOn w:val="Normal"/>
    <w:semiHidden/>
    <w:pPr>
      <w:ind w:left="1418"/>
      <w:jc w:val="both"/>
    </w:pPr>
    <w:rPr>
      <w:i/>
      <w:sz w:val="28"/>
      <w:szCs w:val="20"/>
    </w:rPr>
  </w:style>
  <w:style w:type="paragraph" w:styleId="Recuodecorpodetexto">
    <w:name w:val="Body Text Indent"/>
    <w:basedOn w:val="Normal"/>
    <w:semiHidden/>
    <w:pPr>
      <w:ind w:firstLine="1418"/>
      <w:jc w:val="both"/>
    </w:pPr>
    <w:rPr>
      <w:rFonts w:ascii="Verdana" w:hAnsi="Verdana"/>
      <w:sz w:val="20"/>
    </w:rPr>
  </w:style>
  <w:style w:type="paragraph" w:styleId="Recuodecorpodetexto2">
    <w:name w:val="Body Text Indent 2"/>
    <w:basedOn w:val="Normal"/>
    <w:semiHidden/>
    <w:pPr>
      <w:ind w:left="1418"/>
      <w:jc w:val="both"/>
    </w:pPr>
    <w:rPr>
      <w:b/>
      <w:bCs/>
      <w:i/>
    </w:rPr>
  </w:style>
  <w:style w:type="paragraph" w:styleId="Cabealho">
    <w:name w:val="header"/>
    <w:basedOn w:val="Normal"/>
    <w:link w:val="CabealhoChar"/>
    <w:uiPriority w:val="99"/>
    <w:semiHidden/>
    <w:pPr>
      <w:tabs>
        <w:tab w:val="center" w:pos="4419"/>
        <w:tab w:val="right" w:pos="8838"/>
      </w:tabs>
    </w:pPr>
  </w:style>
  <w:style w:type="paragraph" w:styleId="Rodap">
    <w:name w:val="footer"/>
    <w:basedOn w:val="Normal"/>
    <w:semiHidden/>
    <w:pPr>
      <w:tabs>
        <w:tab w:val="center" w:pos="4419"/>
        <w:tab w:val="right" w:pos="8838"/>
      </w:tabs>
    </w:pPr>
  </w:style>
  <w:style w:type="character" w:styleId="Nmerodepgina">
    <w:name w:val="page number"/>
    <w:basedOn w:val="Fontepargpadro"/>
    <w:semiHidden/>
  </w:style>
  <w:style w:type="character" w:styleId="nfase">
    <w:name w:val="Emphasis"/>
    <w:uiPriority w:val="20"/>
    <w:qFormat/>
    <w:rPr>
      <w:i/>
      <w:iCs/>
    </w:rPr>
  </w:style>
  <w:style w:type="character" w:styleId="Hyperlink">
    <w:name w:val="Hyperlink"/>
    <w:rPr>
      <w:color w:val="0000FF"/>
      <w:u w:val="single"/>
    </w:rPr>
  </w:style>
  <w:style w:type="character" w:styleId="Forte">
    <w:name w:val="Strong"/>
    <w:uiPriority w:val="22"/>
    <w:qFormat/>
    <w:rPr>
      <w:b/>
      <w:bCs/>
    </w:rPr>
  </w:style>
  <w:style w:type="paragraph" w:styleId="Corpodetexto">
    <w:name w:val="Body Text"/>
    <w:basedOn w:val="Normal"/>
    <w:semiHidden/>
    <w:pPr>
      <w:ind w:right="18"/>
      <w:jc w:val="both"/>
    </w:pPr>
    <w:rPr>
      <w:rFonts w:ascii="Courier New" w:hAnsi="Courier New" w:cs="Courier New"/>
      <w:b/>
      <w:bCs/>
    </w:rPr>
  </w:style>
  <w:style w:type="paragraph" w:styleId="Corpodetexto2">
    <w:name w:val="Body Text 2"/>
    <w:basedOn w:val="Normal"/>
    <w:semiHidden/>
    <w:pPr>
      <w:ind w:right="18"/>
      <w:jc w:val="both"/>
    </w:pPr>
    <w:rPr>
      <w:rFonts w:ascii="Courier New" w:hAnsi="Courier New" w:cs="Courier New"/>
      <w:b/>
      <w:bCs/>
      <w:i/>
      <w:iCs/>
      <w:u w:val="single"/>
    </w:rPr>
  </w:style>
  <w:style w:type="paragraph" w:styleId="Pr-formataoHTML">
    <w:name w:val="HTML Preformatted"/>
    <w:basedOn w:val="Normal"/>
    <w:link w:val="Pr-formataoHTML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eastAsia="Arial Unicode MS" w:hAnsi="Verdana" w:cs="Arial Unicode MS"/>
      <w:sz w:val="20"/>
      <w:szCs w:val="20"/>
    </w:rPr>
  </w:style>
  <w:style w:type="character" w:customStyle="1" w:styleId="highlightbrs1">
    <w:name w:val="highlightbrs1"/>
    <w:rPr>
      <w:b/>
      <w:bCs/>
      <w:color w:val="FF0000"/>
    </w:rPr>
  </w:style>
  <w:style w:type="paragraph" w:customStyle="1" w:styleId="pargrafo">
    <w:name w:val="pargrafo"/>
    <w:basedOn w:val="Normal"/>
    <w:pPr>
      <w:spacing w:before="100" w:beforeAutospacing="1" w:after="100" w:afterAutospacing="1"/>
    </w:pPr>
    <w:rPr>
      <w:rFonts w:ascii="Arial Unicode MS" w:eastAsia="Arial Unicode MS" w:hAnsi="Arial Unicode MS" w:cs="Arial Unicode MS"/>
    </w:rPr>
  </w:style>
  <w:style w:type="paragraph" w:styleId="Textoembloco">
    <w:name w:val="Block Text"/>
    <w:basedOn w:val="Normal"/>
    <w:semiHidden/>
    <w:pPr>
      <w:ind w:left="360" w:right="558"/>
      <w:jc w:val="both"/>
    </w:pPr>
    <w:rPr>
      <w:rFonts w:ascii="Courier New" w:hAnsi="Courier New" w:cs="Courier New"/>
      <w:b/>
      <w:bCs/>
      <w:sz w:val="22"/>
    </w:rPr>
  </w:style>
  <w:style w:type="character" w:customStyle="1" w:styleId="info1">
    <w:name w:val="info1"/>
    <w:rPr>
      <w:color w:val="000000"/>
      <w:sz w:val="20"/>
      <w:szCs w:val="20"/>
    </w:rPr>
  </w:style>
  <w:style w:type="character" w:styleId="HiperlinkVisitado">
    <w:name w:val="FollowedHyperlink"/>
    <w:semiHidden/>
    <w:rPr>
      <w:color w:val="800080"/>
      <w:u w:val="single"/>
    </w:rPr>
  </w:style>
  <w:style w:type="character" w:styleId="Refdenotaderodap">
    <w:name w:val="footnote reference"/>
    <w:semiHidden/>
    <w:rPr>
      <w:vertAlign w:val="superscript"/>
    </w:rPr>
  </w:style>
  <w:style w:type="paragraph" w:styleId="PargrafodaLista">
    <w:name w:val="List Paragraph"/>
    <w:basedOn w:val="Normal"/>
    <w:uiPriority w:val="34"/>
    <w:qFormat/>
    <w:rsid w:val="004F4656"/>
    <w:pPr>
      <w:ind w:left="708"/>
    </w:pPr>
  </w:style>
  <w:style w:type="character" w:customStyle="1" w:styleId="Pr-formataoHTMLChar">
    <w:name w:val="Pré-formatação HTML Char"/>
    <w:link w:val="Pr-formataoHTML"/>
    <w:uiPriority w:val="99"/>
    <w:rsid w:val="00FC7FFC"/>
    <w:rPr>
      <w:rFonts w:ascii="Verdana" w:eastAsia="Arial Unicode MS" w:hAnsi="Verdana" w:cs="Arial Unicode MS"/>
    </w:rPr>
  </w:style>
  <w:style w:type="paragraph" w:styleId="Textodebalo">
    <w:name w:val="Balloon Text"/>
    <w:basedOn w:val="Normal"/>
    <w:link w:val="TextodebaloChar"/>
    <w:uiPriority w:val="99"/>
    <w:semiHidden/>
    <w:unhideWhenUsed/>
    <w:rsid w:val="00F31D9D"/>
    <w:pPr>
      <w:spacing w:line="240" w:lineRule="auto"/>
    </w:pPr>
    <w:rPr>
      <w:rFonts w:ascii="Tahoma" w:hAnsi="Tahoma" w:cs="Tahoma"/>
      <w:sz w:val="16"/>
      <w:szCs w:val="16"/>
    </w:rPr>
  </w:style>
  <w:style w:type="character" w:customStyle="1" w:styleId="TextodebaloChar">
    <w:name w:val="Texto de balão Char"/>
    <w:link w:val="Textodebalo"/>
    <w:uiPriority w:val="99"/>
    <w:semiHidden/>
    <w:rsid w:val="00F31D9D"/>
    <w:rPr>
      <w:rFonts w:ascii="Tahoma" w:hAnsi="Tahoma" w:cs="Tahoma"/>
      <w:sz w:val="16"/>
      <w:szCs w:val="16"/>
    </w:rPr>
  </w:style>
  <w:style w:type="character" w:customStyle="1" w:styleId="apple-converted-space">
    <w:name w:val="apple-converted-space"/>
    <w:rsid w:val="00483761"/>
  </w:style>
  <w:style w:type="paragraph" w:customStyle="1" w:styleId="snippet">
    <w:name w:val="snippet"/>
    <w:basedOn w:val="Normal"/>
    <w:rsid w:val="001E2A33"/>
    <w:pPr>
      <w:spacing w:before="100" w:beforeAutospacing="1" w:after="100" w:afterAutospacing="1" w:line="240" w:lineRule="auto"/>
    </w:pPr>
  </w:style>
  <w:style w:type="paragraph" w:customStyle="1" w:styleId="cab">
    <w:name w:val="cab"/>
    <w:basedOn w:val="Normal"/>
    <w:rsid w:val="00C6076A"/>
    <w:pPr>
      <w:spacing w:before="100" w:beforeAutospacing="1" w:after="100" w:afterAutospacing="1" w:line="240" w:lineRule="auto"/>
    </w:pPr>
  </w:style>
  <w:style w:type="paragraph" w:customStyle="1" w:styleId="par">
    <w:name w:val="par"/>
    <w:basedOn w:val="Normal"/>
    <w:rsid w:val="00C6076A"/>
    <w:pPr>
      <w:spacing w:before="100" w:beforeAutospacing="1" w:after="100" w:afterAutospacing="1" w:line="240" w:lineRule="auto"/>
    </w:pPr>
  </w:style>
  <w:style w:type="character" w:customStyle="1" w:styleId="Ttulo2Char">
    <w:name w:val="Título 2 Char"/>
    <w:link w:val="Ttulo2"/>
    <w:rsid w:val="00EB730C"/>
    <w:rPr>
      <w:rFonts w:ascii="Book Antiqua" w:hAnsi="Book Antiqua"/>
      <w:b/>
      <w:bCs/>
      <w:sz w:val="28"/>
      <w:szCs w:val="24"/>
      <w:u w:val="single"/>
    </w:rPr>
  </w:style>
  <w:style w:type="paragraph" w:customStyle="1" w:styleId="ecmsonormal">
    <w:name w:val="ec_msonormal"/>
    <w:basedOn w:val="Normal"/>
    <w:rsid w:val="000C0398"/>
    <w:pPr>
      <w:spacing w:before="100" w:beforeAutospacing="1" w:after="100" w:afterAutospacing="1" w:line="240" w:lineRule="auto"/>
    </w:pPr>
  </w:style>
  <w:style w:type="character" w:customStyle="1" w:styleId="value">
    <w:name w:val="value"/>
    <w:rsid w:val="00A63EE5"/>
  </w:style>
  <w:style w:type="character" w:customStyle="1" w:styleId="skypec2ctextspan">
    <w:name w:val="skype_c2c_text_span"/>
    <w:rsid w:val="00D07FFC"/>
  </w:style>
  <w:style w:type="paragraph" w:customStyle="1" w:styleId="Normal1">
    <w:name w:val="Normal1"/>
    <w:basedOn w:val="Normal"/>
    <w:rsid w:val="000115AE"/>
    <w:pPr>
      <w:spacing w:before="100" w:beforeAutospacing="1" w:after="100" w:afterAutospacing="1" w:line="240" w:lineRule="auto"/>
    </w:pPr>
    <w:rPr>
      <w:rFonts w:eastAsia="SimSun"/>
      <w:lang w:eastAsia="zh-CN"/>
    </w:rPr>
  </w:style>
  <w:style w:type="paragraph" w:customStyle="1" w:styleId="Estilo1">
    <w:name w:val="Estilo1"/>
    <w:basedOn w:val="Recuodecorpodetexto"/>
    <w:autoRedefine/>
    <w:rsid w:val="000115AE"/>
    <w:pPr>
      <w:widowControl w:val="0"/>
      <w:tabs>
        <w:tab w:val="left" w:pos="-1418"/>
      </w:tabs>
      <w:ind w:firstLine="0"/>
    </w:pPr>
    <w:rPr>
      <w:rFonts w:ascii="Arial" w:hAnsi="Arial" w:cs="Arial"/>
      <w:bCs/>
      <w:sz w:val="24"/>
    </w:rPr>
  </w:style>
  <w:style w:type="paragraph" w:styleId="Textodenotaderodap">
    <w:name w:val="footnote text"/>
    <w:basedOn w:val="Normal"/>
    <w:link w:val="TextodenotaderodapChar"/>
    <w:uiPriority w:val="99"/>
    <w:unhideWhenUsed/>
    <w:rsid w:val="004841D5"/>
    <w:rPr>
      <w:sz w:val="20"/>
      <w:szCs w:val="20"/>
    </w:rPr>
  </w:style>
  <w:style w:type="character" w:customStyle="1" w:styleId="TextodenotaderodapChar">
    <w:name w:val="Texto de nota de rodapé Char"/>
    <w:basedOn w:val="Fontepargpadro"/>
    <w:link w:val="Textodenotaderodap"/>
    <w:uiPriority w:val="99"/>
    <w:rsid w:val="004841D5"/>
  </w:style>
  <w:style w:type="character" w:customStyle="1" w:styleId="st">
    <w:name w:val="st"/>
    <w:basedOn w:val="Fontepargpadro"/>
    <w:rsid w:val="00791DFF"/>
  </w:style>
  <w:style w:type="character" w:customStyle="1" w:styleId="artigo1">
    <w:name w:val="artigo1"/>
    <w:basedOn w:val="Fontepargpadro"/>
    <w:rsid w:val="00E50C50"/>
  </w:style>
  <w:style w:type="character" w:customStyle="1" w:styleId="paginascontent">
    <w:name w:val="paginascontent"/>
    <w:basedOn w:val="Fontepargpadro"/>
    <w:rsid w:val="00F629C9"/>
  </w:style>
  <w:style w:type="paragraph" w:customStyle="1" w:styleId="artigo">
    <w:name w:val="artigo"/>
    <w:basedOn w:val="Normal"/>
    <w:rsid w:val="005210E8"/>
    <w:pPr>
      <w:spacing w:before="100" w:beforeAutospacing="1" w:after="100" w:afterAutospacing="1" w:line="240" w:lineRule="auto"/>
    </w:pPr>
  </w:style>
  <w:style w:type="paragraph" w:customStyle="1" w:styleId="info">
    <w:name w:val="info"/>
    <w:basedOn w:val="Normal"/>
    <w:rsid w:val="00C52B8B"/>
    <w:pPr>
      <w:spacing w:before="100" w:beforeAutospacing="1" w:after="100" w:afterAutospacing="1" w:line="240" w:lineRule="auto"/>
    </w:pPr>
  </w:style>
  <w:style w:type="table" w:styleId="Tabelacomgrade">
    <w:name w:val="Table Grid"/>
    <w:basedOn w:val="Tabelanormal"/>
    <w:uiPriority w:val="59"/>
    <w:rsid w:val="009B54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abealhoChar">
    <w:name w:val="Cabeçalho Char"/>
    <w:basedOn w:val="Fontepargpadro"/>
    <w:link w:val="Cabealho"/>
    <w:uiPriority w:val="99"/>
    <w:semiHidden/>
    <w:rsid w:val="00253F2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95037">
      <w:bodyDiv w:val="1"/>
      <w:marLeft w:val="0"/>
      <w:marRight w:val="0"/>
      <w:marTop w:val="0"/>
      <w:marBottom w:val="0"/>
      <w:divBdr>
        <w:top w:val="none" w:sz="0" w:space="0" w:color="auto"/>
        <w:left w:val="none" w:sz="0" w:space="0" w:color="auto"/>
        <w:bottom w:val="none" w:sz="0" w:space="0" w:color="auto"/>
        <w:right w:val="none" w:sz="0" w:space="0" w:color="auto"/>
      </w:divBdr>
    </w:div>
    <w:div w:id="83844341">
      <w:bodyDiv w:val="1"/>
      <w:marLeft w:val="0"/>
      <w:marRight w:val="0"/>
      <w:marTop w:val="0"/>
      <w:marBottom w:val="0"/>
      <w:divBdr>
        <w:top w:val="none" w:sz="0" w:space="0" w:color="auto"/>
        <w:left w:val="none" w:sz="0" w:space="0" w:color="auto"/>
        <w:bottom w:val="none" w:sz="0" w:space="0" w:color="auto"/>
        <w:right w:val="none" w:sz="0" w:space="0" w:color="auto"/>
      </w:divBdr>
      <w:divsChild>
        <w:div w:id="474492">
          <w:marLeft w:val="0"/>
          <w:marRight w:val="0"/>
          <w:marTop w:val="0"/>
          <w:marBottom w:val="0"/>
          <w:divBdr>
            <w:top w:val="none" w:sz="0" w:space="0" w:color="auto"/>
            <w:left w:val="none" w:sz="0" w:space="0" w:color="auto"/>
            <w:bottom w:val="none" w:sz="0" w:space="0" w:color="auto"/>
            <w:right w:val="none" w:sz="0" w:space="0" w:color="auto"/>
          </w:divBdr>
        </w:div>
        <w:div w:id="31467469">
          <w:marLeft w:val="0"/>
          <w:marRight w:val="0"/>
          <w:marTop w:val="0"/>
          <w:marBottom w:val="0"/>
          <w:divBdr>
            <w:top w:val="none" w:sz="0" w:space="0" w:color="auto"/>
            <w:left w:val="none" w:sz="0" w:space="0" w:color="auto"/>
            <w:bottom w:val="none" w:sz="0" w:space="0" w:color="auto"/>
            <w:right w:val="none" w:sz="0" w:space="0" w:color="auto"/>
          </w:divBdr>
        </w:div>
        <w:div w:id="58401583">
          <w:marLeft w:val="0"/>
          <w:marRight w:val="0"/>
          <w:marTop w:val="0"/>
          <w:marBottom w:val="0"/>
          <w:divBdr>
            <w:top w:val="none" w:sz="0" w:space="0" w:color="auto"/>
            <w:left w:val="none" w:sz="0" w:space="0" w:color="auto"/>
            <w:bottom w:val="none" w:sz="0" w:space="0" w:color="auto"/>
            <w:right w:val="none" w:sz="0" w:space="0" w:color="auto"/>
          </w:divBdr>
        </w:div>
        <w:div w:id="118884612">
          <w:marLeft w:val="0"/>
          <w:marRight w:val="0"/>
          <w:marTop w:val="0"/>
          <w:marBottom w:val="0"/>
          <w:divBdr>
            <w:top w:val="none" w:sz="0" w:space="0" w:color="auto"/>
            <w:left w:val="none" w:sz="0" w:space="0" w:color="auto"/>
            <w:bottom w:val="none" w:sz="0" w:space="0" w:color="auto"/>
            <w:right w:val="none" w:sz="0" w:space="0" w:color="auto"/>
          </w:divBdr>
        </w:div>
        <w:div w:id="125658920">
          <w:marLeft w:val="0"/>
          <w:marRight w:val="0"/>
          <w:marTop w:val="0"/>
          <w:marBottom w:val="0"/>
          <w:divBdr>
            <w:top w:val="none" w:sz="0" w:space="0" w:color="auto"/>
            <w:left w:val="none" w:sz="0" w:space="0" w:color="auto"/>
            <w:bottom w:val="none" w:sz="0" w:space="0" w:color="auto"/>
            <w:right w:val="none" w:sz="0" w:space="0" w:color="auto"/>
          </w:divBdr>
        </w:div>
        <w:div w:id="231935334">
          <w:marLeft w:val="0"/>
          <w:marRight w:val="0"/>
          <w:marTop w:val="0"/>
          <w:marBottom w:val="0"/>
          <w:divBdr>
            <w:top w:val="none" w:sz="0" w:space="0" w:color="auto"/>
            <w:left w:val="none" w:sz="0" w:space="0" w:color="auto"/>
            <w:bottom w:val="none" w:sz="0" w:space="0" w:color="auto"/>
            <w:right w:val="none" w:sz="0" w:space="0" w:color="auto"/>
          </w:divBdr>
        </w:div>
        <w:div w:id="313141148">
          <w:marLeft w:val="0"/>
          <w:marRight w:val="0"/>
          <w:marTop w:val="0"/>
          <w:marBottom w:val="0"/>
          <w:divBdr>
            <w:top w:val="none" w:sz="0" w:space="0" w:color="auto"/>
            <w:left w:val="none" w:sz="0" w:space="0" w:color="auto"/>
            <w:bottom w:val="none" w:sz="0" w:space="0" w:color="auto"/>
            <w:right w:val="none" w:sz="0" w:space="0" w:color="auto"/>
          </w:divBdr>
        </w:div>
        <w:div w:id="381028862">
          <w:marLeft w:val="0"/>
          <w:marRight w:val="0"/>
          <w:marTop w:val="0"/>
          <w:marBottom w:val="0"/>
          <w:divBdr>
            <w:top w:val="none" w:sz="0" w:space="0" w:color="auto"/>
            <w:left w:val="none" w:sz="0" w:space="0" w:color="auto"/>
            <w:bottom w:val="none" w:sz="0" w:space="0" w:color="auto"/>
            <w:right w:val="none" w:sz="0" w:space="0" w:color="auto"/>
          </w:divBdr>
        </w:div>
        <w:div w:id="555820231">
          <w:marLeft w:val="0"/>
          <w:marRight w:val="0"/>
          <w:marTop w:val="0"/>
          <w:marBottom w:val="0"/>
          <w:divBdr>
            <w:top w:val="none" w:sz="0" w:space="0" w:color="auto"/>
            <w:left w:val="none" w:sz="0" w:space="0" w:color="auto"/>
            <w:bottom w:val="none" w:sz="0" w:space="0" w:color="auto"/>
            <w:right w:val="none" w:sz="0" w:space="0" w:color="auto"/>
          </w:divBdr>
        </w:div>
        <w:div w:id="608245099">
          <w:marLeft w:val="0"/>
          <w:marRight w:val="0"/>
          <w:marTop w:val="0"/>
          <w:marBottom w:val="0"/>
          <w:divBdr>
            <w:top w:val="none" w:sz="0" w:space="0" w:color="auto"/>
            <w:left w:val="none" w:sz="0" w:space="0" w:color="auto"/>
            <w:bottom w:val="none" w:sz="0" w:space="0" w:color="auto"/>
            <w:right w:val="none" w:sz="0" w:space="0" w:color="auto"/>
          </w:divBdr>
        </w:div>
        <w:div w:id="667443502">
          <w:marLeft w:val="0"/>
          <w:marRight w:val="0"/>
          <w:marTop w:val="0"/>
          <w:marBottom w:val="0"/>
          <w:divBdr>
            <w:top w:val="none" w:sz="0" w:space="0" w:color="auto"/>
            <w:left w:val="none" w:sz="0" w:space="0" w:color="auto"/>
            <w:bottom w:val="none" w:sz="0" w:space="0" w:color="auto"/>
            <w:right w:val="none" w:sz="0" w:space="0" w:color="auto"/>
          </w:divBdr>
        </w:div>
        <w:div w:id="678459568">
          <w:marLeft w:val="0"/>
          <w:marRight w:val="0"/>
          <w:marTop w:val="0"/>
          <w:marBottom w:val="0"/>
          <w:divBdr>
            <w:top w:val="none" w:sz="0" w:space="0" w:color="auto"/>
            <w:left w:val="none" w:sz="0" w:space="0" w:color="auto"/>
            <w:bottom w:val="none" w:sz="0" w:space="0" w:color="auto"/>
            <w:right w:val="none" w:sz="0" w:space="0" w:color="auto"/>
          </w:divBdr>
        </w:div>
        <w:div w:id="779030110">
          <w:marLeft w:val="0"/>
          <w:marRight w:val="0"/>
          <w:marTop w:val="0"/>
          <w:marBottom w:val="0"/>
          <w:divBdr>
            <w:top w:val="none" w:sz="0" w:space="0" w:color="auto"/>
            <w:left w:val="none" w:sz="0" w:space="0" w:color="auto"/>
            <w:bottom w:val="none" w:sz="0" w:space="0" w:color="auto"/>
            <w:right w:val="none" w:sz="0" w:space="0" w:color="auto"/>
          </w:divBdr>
        </w:div>
        <w:div w:id="809980390">
          <w:marLeft w:val="0"/>
          <w:marRight w:val="0"/>
          <w:marTop w:val="0"/>
          <w:marBottom w:val="0"/>
          <w:divBdr>
            <w:top w:val="none" w:sz="0" w:space="0" w:color="auto"/>
            <w:left w:val="none" w:sz="0" w:space="0" w:color="auto"/>
            <w:bottom w:val="none" w:sz="0" w:space="0" w:color="auto"/>
            <w:right w:val="none" w:sz="0" w:space="0" w:color="auto"/>
          </w:divBdr>
        </w:div>
        <w:div w:id="869034503">
          <w:marLeft w:val="0"/>
          <w:marRight w:val="0"/>
          <w:marTop w:val="0"/>
          <w:marBottom w:val="0"/>
          <w:divBdr>
            <w:top w:val="none" w:sz="0" w:space="0" w:color="auto"/>
            <w:left w:val="none" w:sz="0" w:space="0" w:color="auto"/>
            <w:bottom w:val="none" w:sz="0" w:space="0" w:color="auto"/>
            <w:right w:val="none" w:sz="0" w:space="0" w:color="auto"/>
          </w:divBdr>
        </w:div>
        <w:div w:id="1068529323">
          <w:marLeft w:val="0"/>
          <w:marRight w:val="0"/>
          <w:marTop w:val="0"/>
          <w:marBottom w:val="0"/>
          <w:divBdr>
            <w:top w:val="none" w:sz="0" w:space="0" w:color="auto"/>
            <w:left w:val="none" w:sz="0" w:space="0" w:color="auto"/>
            <w:bottom w:val="none" w:sz="0" w:space="0" w:color="auto"/>
            <w:right w:val="none" w:sz="0" w:space="0" w:color="auto"/>
          </w:divBdr>
        </w:div>
        <w:div w:id="1180700642">
          <w:marLeft w:val="0"/>
          <w:marRight w:val="0"/>
          <w:marTop w:val="0"/>
          <w:marBottom w:val="0"/>
          <w:divBdr>
            <w:top w:val="none" w:sz="0" w:space="0" w:color="auto"/>
            <w:left w:val="none" w:sz="0" w:space="0" w:color="auto"/>
            <w:bottom w:val="none" w:sz="0" w:space="0" w:color="auto"/>
            <w:right w:val="none" w:sz="0" w:space="0" w:color="auto"/>
          </w:divBdr>
        </w:div>
        <w:div w:id="1255673389">
          <w:marLeft w:val="0"/>
          <w:marRight w:val="0"/>
          <w:marTop w:val="0"/>
          <w:marBottom w:val="0"/>
          <w:divBdr>
            <w:top w:val="none" w:sz="0" w:space="0" w:color="auto"/>
            <w:left w:val="none" w:sz="0" w:space="0" w:color="auto"/>
            <w:bottom w:val="none" w:sz="0" w:space="0" w:color="auto"/>
            <w:right w:val="none" w:sz="0" w:space="0" w:color="auto"/>
          </w:divBdr>
        </w:div>
        <w:div w:id="1341735233">
          <w:marLeft w:val="0"/>
          <w:marRight w:val="0"/>
          <w:marTop w:val="0"/>
          <w:marBottom w:val="0"/>
          <w:divBdr>
            <w:top w:val="none" w:sz="0" w:space="0" w:color="auto"/>
            <w:left w:val="none" w:sz="0" w:space="0" w:color="auto"/>
            <w:bottom w:val="none" w:sz="0" w:space="0" w:color="auto"/>
            <w:right w:val="none" w:sz="0" w:space="0" w:color="auto"/>
          </w:divBdr>
        </w:div>
        <w:div w:id="1352803534">
          <w:marLeft w:val="0"/>
          <w:marRight w:val="0"/>
          <w:marTop w:val="0"/>
          <w:marBottom w:val="0"/>
          <w:divBdr>
            <w:top w:val="none" w:sz="0" w:space="0" w:color="auto"/>
            <w:left w:val="none" w:sz="0" w:space="0" w:color="auto"/>
            <w:bottom w:val="none" w:sz="0" w:space="0" w:color="auto"/>
            <w:right w:val="none" w:sz="0" w:space="0" w:color="auto"/>
          </w:divBdr>
        </w:div>
        <w:div w:id="1374845979">
          <w:marLeft w:val="0"/>
          <w:marRight w:val="0"/>
          <w:marTop w:val="0"/>
          <w:marBottom w:val="0"/>
          <w:divBdr>
            <w:top w:val="none" w:sz="0" w:space="0" w:color="auto"/>
            <w:left w:val="none" w:sz="0" w:space="0" w:color="auto"/>
            <w:bottom w:val="none" w:sz="0" w:space="0" w:color="auto"/>
            <w:right w:val="none" w:sz="0" w:space="0" w:color="auto"/>
          </w:divBdr>
        </w:div>
        <w:div w:id="1407918863">
          <w:marLeft w:val="0"/>
          <w:marRight w:val="0"/>
          <w:marTop w:val="0"/>
          <w:marBottom w:val="0"/>
          <w:divBdr>
            <w:top w:val="none" w:sz="0" w:space="0" w:color="auto"/>
            <w:left w:val="none" w:sz="0" w:space="0" w:color="auto"/>
            <w:bottom w:val="none" w:sz="0" w:space="0" w:color="auto"/>
            <w:right w:val="none" w:sz="0" w:space="0" w:color="auto"/>
          </w:divBdr>
        </w:div>
        <w:div w:id="1673951400">
          <w:marLeft w:val="0"/>
          <w:marRight w:val="0"/>
          <w:marTop w:val="0"/>
          <w:marBottom w:val="0"/>
          <w:divBdr>
            <w:top w:val="none" w:sz="0" w:space="0" w:color="auto"/>
            <w:left w:val="none" w:sz="0" w:space="0" w:color="auto"/>
            <w:bottom w:val="none" w:sz="0" w:space="0" w:color="auto"/>
            <w:right w:val="none" w:sz="0" w:space="0" w:color="auto"/>
          </w:divBdr>
        </w:div>
        <w:div w:id="1866164355">
          <w:marLeft w:val="0"/>
          <w:marRight w:val="0"/>
          <w:marTop w:val="0"/>
          <w:marBottom w:val="0"/>
          <w:divBdr>
            <w:top w:val="none" w:sz="0" w:space="0" w:color="auto"/>
            <w:left w:val="none" w:sz="0" w:space="0" w:color="auto"/>
            <w:bottom w:val="none" w:sz="0" w:space="0" w:color="auto"/>
            <w:right w:val="none" w:sz="0" w:space="0" w:color="auto"/>
          </w:divBdr>
        </w:div>
        <w:div w:id="1901476933">
          <w:marLeft w:val="0"/>
          <w:marRight w:val="0"/>
          <w:marTop w:val="0"/>
          <w:marBottom w:val="0"/>
          <w:divBdr>
            <w:top w:val="none" w:sz="0" w:space="0" w:color="auto"/>
            <w:left w:val="none" w:sz="0" w:space="0" w:color="auto"/>
            <w:bottom w:val="none" w:sz="0" w:space="0" w:color="auto"/>
            <w:right w:val="none" w:sz="0" w:space="0" w:color="auto"/>
          </w:divBdr>
        </w:div>
        <w:div w:id="1904560760">
          <w:marLeft w:val="0"/>
          <w:marRight w:val="0"/>
          <w:marTop w:val="0"/>
          <w:marBottom w:val="0"/>
          <w:divBdr>
            <w:top w:val="none" w:sz="0" w:space="0" w:color="auto"/>
            <w:left w:val="none" w:sz="0" w:space="0" w:color="auto"/>
            <w:bottom w:val="none" w:sz="0" w:space="0" w:color="auto"/>
            <w:right w:val="none" w:sz="0" w:space="0" w:color="auto"/>
          </w:divBdr>
        </w:div>
        <w:div w:id="1990160866">
          <w:marLeft w:val="0"/>
          <w:marRight w:val="0"/>
          <w:marTop w:val="0"/>
          <w:marBottom w:val="0"/>
          <w:divBdr>
            <w:top w:val="none" w:sz="0" w:space="0" w:color="auto"/>
            <w:left w:val="none" w:sz="0" w:space="0" w:color="auto"/>
            <w:bottom w:val="none" w:sz="0" w:space="0" w:color="auto"/>
            <w:right w:val="none" w:sz="0" w:space="0" w:color="auto"/>
          </w:divBdr>
        </w:div>
        <w:div w:id="1992367455">
          <w:marLeft w:val="0"/>
          <w:marRight w:val="0"/>
          <w:marTop w:val="0"/>
          <w:marBottom w:val="0"/>
          <w:divBdr>
            <w:top w:val="none" w:sz="0" w:space="0" w:color="auto"/>
            <w:left w:val="none" w:sz="0" w:space="0" w:color="auto"/>
            <w:bottom w:val="none" w:sz="0" w:space="0" w:color="auto"/>
            <w:right w:val="none" w:sz="0" w:space="0" w:color="auto"/>
          </w:divBdr>
        </w:div>
        <w:div w:id="2142724194">
          <w:marLeft w:val="0"/>
          <w:marRight w:val="0"/>
          <w:marTop w:val="0"/>
          <w:marBottom w:val="0"/>
          <w:divBdr>
            <w:top w:val="none" w:sz="0" w:space="0" w:color="auto"/>
            <w:left w:val="none" w:sz="0" w:space="0" w:color="auto"/>
            <w:bottom w:val="none" w:sz="0" w:space="0" w:color="auto"/>
            <w:right w:val="none" w:sz="0" w:space="0" w:color="auto"/>
          </w:divBdr>
        </w:div>
      </w:divsChild>
    </w:div>
    <w:div w:id="247470774">
      <w:bodyDiv w:val="1"/>
      <w:marLeft w:val="0"/>
      <w:marRight w:val="0"/>
      <w:marTop w:val="0"/>
      <w:marBottom w:val="0"/>
      <w:divBdr>
        <w:top w:val="none" w:sz="0" w:space="0" w:color="auto"/>
        <w:left w:val="none" w:sz="0" w:space="0" w:color="auto"/>
        <w:bottom w:val="none" w:sz="0" w:space="0" w:color="auto"/>
        <w:right w:val="none" w:sz="0" w:space="0" w:color="auto"/>
      </w:divBdr>
    </w:div>
    <w:div w:id="406850725">
      <w:bodyDiv w:val="1"/>
      <w:marLeft w:val="0"/>
      <w:marRight w:val="0"/>
      <w:marTop w:val="0"/>
      <w:marBottom w:val="0"/>
      <w:divBdr>
        <w:top w:val="none" w:sz="0" w:space="0" w:color="auto"/>
        <w:left w:val="none" w:sz="0" w:space="0" w:color="auto"/>
        <w:bottom w:val="none" w:sz="0" w:space="0" w:color="auto"/>
        <w:right w:val="none" w:sz="0" w:space="0" w:color="auto"/>
      </w:divBdr>
    </w:div>
    <w:div w:id="472990156">
      <w:bodyDiv w:val="1"/>
      <w:marLeft w:val="0"/>
      <w:marRight w:val="0"/>
      <w:marTop w:val="0"/>
      <w:marBottom w:val="0"/>
      <w:divBdr>
        <w:top w:val="none" w:sz="0" w:space="0" w:color="auto"/>
        <w:left w:val="none" w:sz="0" w:space="0" w:color="auto"/>
        <w:bottom w:val="none" w:sz="0" w:space="0" w:color="auto"/>
        <w:right w:val="none" w:sz="0" w:space="0" w:color="auto"/>
      </w:divBdr>
    </w:div>
    <w:div w:id="586034269">
      <w:bodyDiv w:val="1"/>
      <w:marLeft w:val="0"/>
      <w:marRight w:val="0"/>
      <w:marTop w:val="0"/>
      <w:marBottom w:val="0"/>
      <w:divBdr>
        <w:top w:val="none" w:sz="0" w:space="0" w:color="auto"/>
        <w:left w:val="none" w:sz="0" w:space="0" w:color="auto"/>
        <w:bottom w:val="none" w:sz="0" w:space="0" w:color="auto"/>
        <w:right w:val="none" w:sz="0" w:space="0" w:color="auto"/>
      </w:divBdr>
    </w:div>
    <w:div w:id="631984821">
      <w:bodyDiv w:val="1"/>
      <w:marLeft w:val="0"/>
      <w:marRight w:val="0"/>
      <w:marTop w:val="0"/>
      <w:marBottom w:val="0"/>
      <w:divBdr>
        <w:top w:val="none" w:sz="0" w:space="0" w:color="auto"/>
        <w:left w:val="none" w:sz="0" w:space="0" w:color="auto"/>
        <w:bottom w:val="none" w:sz="0" w:space="0" w:color="auto"/>
        <w:right w:val="none" w:sz="0" w:space="0" w:color="auto"/>
      </w:divBdr>
    </w:div>
    <w:div w:id="659625276">
      <w:bodyDiv w:val="1"/>
      <w:marLeft w:val="0"/>
      <w:marRight w:val="0"/>
      <w:marTop w:val="0"/>
      <w:marBottom w:val="0"/>
      <w:divBdr>
        <w:top w:val="none" w:sz="0" w:space="0" w:color="auto"/>
        <w:left w:val="none" w:sz="0" w:space="0" w:color="auto"/>
        <w:bottom w:val="none" w:sz="0" w:space="0" w:color="auto"/>
        <w:right w:val="none" w:sz="0" w:space="0" w:color="auto"/>
      </w:divBdr>
    </w:div>
    <w:div w:id="843711700">
      <w:bodyDiv w:val="1"/>
      <w:marLeft w:val="0"/>
      <w:marRight w:val="0"/>
      <w:marTop w:val="0"/>
      <w:marBottom w:val="0"/>
      <w:divBdr>
        <w:top w:val="none" w:sz="0" w:space="0" w:color="auto"/>
        <w:left w:val="none" w:sz="0" w:space="0" w:color="auto"/>
        <w:bottom w:val="none" w:sz="0" w:space="0" w:color="auto"/>
        <w:right w:val="none" w:sz="0" w:space="0" w:color="auto"/>
      </w:divBdr>
    </w:div>
    <w:div w:id="883716117">
      <w:bodyDiv w:val="1"/>
      <w:marLeft w:val="0"/>
      <w:marRight w:val="0"/>
      <w:marTop w:val="0"/>
      <w:marBottom w:val="0"/>
      <w:divBdr>
        <w:top w:val="none" w:sz="0" w:space="0" w:color="auto"/>
        <w:left w:val="none" w:sz="0" w:space="0" w:color="auto"/>
        <w:bottom w:val="none" w:sz="0" w:space="0" w:color="auto"/>
        <w:right w:val="none" w:sz="0" w:space="0" w:color="auto"/>
      </w:divBdr>
    </w:div>
    <w:div w:id="1004865308">
      <w:bodyDiv w:val="1"/>
      <w:marLeft w:val="0"/>
      <w:marRight w:val="0"/>
      <w:marTop w:val="0"/>
      <w:marBottom w:val="0"/>
      <w:divBdr>
        <w:top w:val="none" w:sz="0" w:space="0" w:color="auto"/>
        <w:left w:val="none" w:sz="0" w:space="0" w:color="auto"/>
        <w:bottom w:val="none" w:sz="0" w:space="0" w:color="auto"/>
        <w:right w:val="none" w:sz="0" w:space="0" w:color="auto"/>
      </w:divBdr>
    </w:div>
    <w:div w:id="1222862138">
      <w:bodyDiv w:val="1"/>
      <w:marLeft w:val="0"/>
      <w:marRight w:val="0"/>
      <w:marTop w:val="0"/>
      <w:marBottom w:val="0"/>
      <w:divBdr>
        <w:top w:val="none" w:sz="0" w:space="0" w:color="auto"/>
        <w:left w:val="none" w:sz="0" w:space="0" w:color="auto"/>
        <w:bottom w:val="none" w:sz="0" w:space="0" w:color="auto"/>
        <w:right w:val="none" w:sz="0" w:space="0" w:color="auto"/>
      </w:divBdr>
    </w:div>
    <w:div w:id="1278827629">
      <w:bodyDiv w:val="1"/>
      <w:marLeft w:val="0"/>
      <w:marRight w:val="0"/>
      <w:marTop w:val="0"/>
      <w:marBottom w:val="0"/>
      <w:divBdr>
        <w:top w:val="none" w:sz="0" w:space="0" w:color="auto"/>
        <w:left w:val="none" w:sz="0" w:space="0" w:color="auto"/>
        <w:bottom w:val="none" w:sz="0" w:space="0" w:color="auto"/>
        <w:right w:val="none" w:sz="0" w:space="0" w:color="auto"/>
      </w:divBdr>
    </w:div>
    <w:div w:id="1316716405">
      <w:bodyDiv w:val="1"/>
      <w:marLeft w:val="0"/>
      <w:marRight w:val="0"/>
      <w:marTop w:val="0"/>
      <w:marBottom w:val="0"/>
      <w:divBdr>
        <w:top w:val="none" w:sz="0" w:space="0" w:color="auto"/>
        <w:left w:val="none" w:sz="0" w:space="0" w:color="auto"/>
        <w:bottom w:val="none" w:sz="0" w:space="0" w:color="auto"/>
        <w:right w:val="none" w:sz="0" w:space="0" w:color="auto"/>
      </w:divBdr>
    </w:div>
    <w:div w:id="1331830629">
      <w:bodyDiv w:val="1"/>
      <w:marLeft w:val="0"/>
      <w:marRight w:val="0"/>
      <w:marTop w:val="0"/>
      <w:marBottom w:val="0"/>
      <w:divBdr>
        <w:top w:val="none" w:sz="0" w:space="0" w:color="auto"/>
        <w:left w:val="none" w:sz="0" w:space="0" w:color="auto"/>
        <w:bottom w:val="none" w:sz="0" w:space="0" w:color="auto"/>
        <w:right w:val="none" w:sz="0" w:space="0" w:color="auto"/>
      </w:divBdr>
    </w:div>
    <w:div w:id="1432357535">
      <w:bodyDiv w:val="1"/>
      <w:marLeft w:val="0"/>
      <w:marRight w:val="0"/>
      <w:marTop w:val="0"/>
      <w:marBottom w:val="0"/>
      <w:divBdr>
        <w:top w:val="none" w:sz="0" w:space="0" w:color="auto"/>
        <w:left w:val="none" w:sz="0" w:space="0" w:color="auto"/>
        <w:bottom w:val="none" w:sz="0" w:space="0" w:color="auto"/>
        <w:right w:val="none" w:sz="0" w:space="0" w:color="auto"/>
      </w:divBdr>
      <w:divsChild>
        <w:div w:id="1996909562">
          <w:marLeft w:val="0"/>
          <w:marRight w:val="0"/>
          <w:marTop w:val="0"/>
          <w:marBottom w:val="0"/>
          <w:divBdr>
            <w:top w:val="none" w:sz="0" w:space="0" w:color="auto"/>
            <w:left w:val="none" w:sz="0" w:space="0" w:color="auto"/>
            <w:bottom w:val="none" w:sz="0" w:space="0" w:color="auto"/>
            <w:right w:val="none" w:sz="0" w:space="0" w:color="auto"/>
          </w:divBdr>
        </w:div>
        <w:div w:id="2004820052">
          <w:marLeft w:val="0"/>
          <w:marRight w:val="0"/>
          <w:marTop w:val="0"/>
          <w:marBottom w:val="0"/>
          <w:divBdr>
            <w:top w:val="none" w:sz="0" w:space="0" w:color="auto"/>
            <w:left w:val="none" w:sz="0" w:space="0" w:color="auto"/>
            <w:bottom w:val="none" w:sz="0" w:space="0" w:color="auto"/>
            <w:right w:val="none" w:sz="0" w:space="0" w:color="auto"/>
          </w:divBdr>
        </w:div>
      </w:divsChild>
    </w:div>
    <w:div w:id="1592467441">
      <w:bodyDiv w:val="1"/>
      <w:marLeft w:val="0"/>
      <w:marRight w:val="0"/>
      <w:marTop w:val="0"/>
      <w:marBottom w:val="0"/>
      <w:divBdr>
        <w:top w:val="none" w:sz="0" w:space="0" w:color="auto"/>
        <w:left w:val="none" w:sz="0" w:space="0" w:color="auto"/>
        <w:bottom w:val="none" w:sz="0" w:space="0" w:color="auto"/>
        <w:right w:val="none" w:sz="0" w:space="0" w:color="auto"/>
      </w:divBdr>
    </w:div>
    <w:div w:id="1638796306">
      <w:bodyDiv w:val="1"/>
      <w:marLeft w:val="0"/>
      <w:marRight w:val="0"/>
      <w:marTop w:val="0"/>
      <w:marBottom w:val="0"/>
      <w:divBdr>
        <w:top w:val="none" w:sz="0" w:space="0" w:color="auto"/>
        <w:left w:val="none" w:sz="0" w:space="0" w:color="auto"/>
        <w:bottom w:val="none" w:sz="0" w:space="0" w:color="auto"/>
        <w:right w:val="none" w:sz="0" w:space="0" w:color="auto"/>
      </w:divBdr>
    </w:div>
    <w:div w:id="1639189507">
      <w:bodyDiv w:val="1"/>
      <w:marLeft w:val="0"/>
      <w:marRight w:val="0"/>
      <w:marTop w:val="0"/>
      <w:marBottom w:val="0"/>
      <w:divBdr>
        <w:top w:val="none" w:sz="0" w:space="0" w:color="auto"/>
        <w:left w:val="none" w:sz="0" w:space="0" w:color="auto"/>
        <w:bottom w:val="none" w:sz="0" w:space="0" w:color="auto"/>
        <w:right w:val="none" w:sz="0" w:space="0" w:color="auto"/>
      </w:divBdr>
    </w:div>
    <w:div w:id="1703363499">
      <w:bodyDiv w:val="1"/>
      <w:marLeft w:val="0"/>
      <w:marRight w:val="0"/>
      <w:marTop w:val="0"/>
      <w:marBottom w:val="0"/>
      <w:divBdr>
        <w:top w:val="none" w:sz="0" w:space="0" w:color="auto"/>
        <w:left w:val="none" w:sz="0" w:space="0" w:color="auto"/>
        <w:bottom w:val="none" w:sz="0" w:space="0" w:color="auto"/>
        <w:right w:val="none" w:sz="0" w:space="0" w:color="auto"/>
      </w:divBdr>
    </w:div>
    <w:div w:id="1774858580">
      <w:bodyDiv w:val="1"/>
      <w:marLeft w:val="0"/>
      <w:marRight w:val="0"/>
      <w:marTop w:val="0"/>
      <w:marBottom w:val="0"/>
      <w:divBdr>
        <w:top w:val="none" w:sz="0" w:space="0" w:color="auto"/>
        <w:left w:val="none" w:sz="0" w:space="0" w:color="auto"/>
        <w:bottom w:val="none" w:sz="0" w:space="0" w:color="auto"/>
        <w:right w:val="none" w:sz="0" w:space="0" w:color="auto"/>
      </w:divBdr>
      <w:divsChild>
        <w:div w:id="1185633011">
          <w:marLeft w:val="0"/>
          <w:marRight w:val="0"/>
          <w:marTop w:val="0"/>
          <w:marBottom w:val="0"/>
          <w:divBdr>
            <w:top w:val="none" w:sz="0" w:space="0" w:color="auto"/>
            <w:left w:val="none" w:sz="0" w:space="0" w:color="auto"/>
            <w:bottom w:val="none" w:sz="0" w:space="0" w:color="auto"/>
            <w:right w:val="none" w:sz="0" w:space="0" w:color="auto"/>
          </w:divBdr>
        </w:div>
      </w:divsChild>
    </w:div>
    <w:div w:id="1828593737">
      <w:bodyDiv w:val="1"/>
      <w:marLeft w:val="0"/>
      <w:marRight w:val="0"/>
      <w:marTop w:val="0"/>
      <w:marBottom w:val="0"/>
      <w:divBdr>
        <w:top w:val="none" w:sz="0" w:space="0" w:color="auto"/>
        <w:left w:val="none" w:sz="0" w:space="0" w:color="auto"/>
        <w:bottom w:val="none" w:sz="0" w:space="0" w:color="auto"/>
        <w:right w:val="none" w:sz="0" w:space="0" w:color="auto"/>
      </w:divBdr>
    </w:div>
    <w:div w:id="1844977327">
      <w:bodyDiv w:val="1"/>
      <w:marLeft w:val="0"/>
      <w:marRight w:val="0"/>
      <w:marTop w:val="0"/>
      <w:marBottom w:val="0"/>
      <w:divBdr>
        <w:top w:val="none" w:sz="0" w:space="0" w:color="auto"/>
        <w:left w:val="none" w:sz="0" w:space="0" w:color="auto"/>
        <w:bottom w:val="none" w:sz="0" w:space="0" w:color="auto"/>
        <w:right w:val="none" w:sz="0" w:space="0" w:color="auto"/>
      </w:divBdr>
    </w:div>
    <w:div w:id="1956478870">
      <w:bodyDiv w:val="1"/>
      <w:marLeft w:val="0"/>
      <w:marRight w:val="0"/>
      <w:marTop w:val="0"/>
      <w:marBottom w:val="0"/>
      <w:divBdr>
        <w:top w:val="none" w:sz="0" w:space="0" w:color="auto"/>
        <w:left w:val="none" w:sz="0" w:space="0" w:color="auto"/>
        <w:bottom w:val="none" w:sz="0" w:space="0" w:color="auto"/>
        <w:right w:val="none" w:sz="0" w:space="0" w:color="auto"/>
      </w:divBdr>
    </w:div>
    <w:div w:id="209735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trf4.jus.br/trf4/controlador.php?acao=irdr_listar"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lan%20Macedo/Downloads/TNU18_web.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2.trf4.jus.br/trf4/controlador.php?acao=consulta_processual_resultado_pesquisa&amp;selForma=NU&amp;txtValor=50332079120164040000&amp;selOrigem=TRF&amp;chkMostrarBaixados=1" TargetMode="External"/><Relationship Id="rId4" Type="http://schemas.openxmlformats.org/officeDocument/2006/relationships/settings" Target="settings.xml"/><Relationship Id="rId9" Type="http://schemas.openxmlformats.org/officeDocument/2006/relationships/hyperlink" Target="https://www2.trf4.jus.br/trf4/controlador.php?acao=consulta_processual_resultado_pesquisa&amp;selForma=NU&amp;txtValor=50543417720164040000&amp;selOrigem=TRF&amp;chkMostrarBaixados=1" TargetMode="External"/><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9776B-F729-47C1-837E-C52D66560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31</Pages>
  <Words>11726</Words>
  <Characters>63324</Characters>
  <Application>Microsoft Office Word</Application>
  <DocSecurity>0</DocSecurity>
  <Lines>527</Lines>
  <Paragraphs>149</Paragraphs>
  <ScaleCrop>false</ScaleCrop>
  <HeadingPairs>
    <vt:vector size="2" baseType="variant">
      <vt:variant>
        <vt:lpstr>Título</vt:lpstr>
      </vt:variant>
      <vt:variant>
        <vt:i4>1</vt:i4>
      </vt:variant>
    </vt:vector>
  </HeadingPairs>
  <TitlesOfParts>
    <vt:vector size="1" baseType="lpstr">
      <vt:lpstr>EXCELENTÍSSIMO SENHOR DOUTOR JUIZ PRESIDENTE DA JUNTA DE CONCILIAÇÃO E JULGAMENTO DE BARBACENA – MG</vt:lpstr>
    </vt:vector>
  </TitlesOfParts>
  <Company/>
  <LinksUpToDate>false</LinksUpToDate>
  <CharactersWithSpaces>74901</CharactersWithSpaces>
  <SharedDoc>false</SharedDoc>
  <HLinks>
    <vt:vector size="18" baseType="variant">
      <vt:variant>
        <vt:i4>4849731</vt:i4>
      </vt:variant>
      <vt:variant>
        <vt:i4>3</vt:i4>
      </vt:variant>
      <vt:variant>
        <vt:i4>0</vt:i4>
      </vt:variant>
      <vt:variant>
        <vt:i4>5</vt:i4>
      </vt:variant>
      <vt:variant>
        <vt:lpwstr>http://www.ieprev.com.br/userfiles/file/tabela de teto inss/manualdepericiasmedicasdoINSS.pdf</vt:lpwstr>
      </vt:variant>
      <vt:variant>
        <vt:lpwstr/>
      </vt:variant>
      <vt:variant>
        <vt:i4>4849731</vt:i4>
      </vt:variant>
      <vt:variant>
        <vt:i4>0</vt:i4>
      </vt:variant>
      <vt:variant>
        <vt:i4>0</vt:i4>
      </vt:variant>
      <vt:variant>
        <vt:i4>5</vt:i4>
      </vt:variant>
      <vt:variant>
        <vt:lpwstr>http://www.ieprev.com.br/userfiles/file/tabela de teto inss/manualdepericiasmedicasdoINSS.pdf</vt:lpwstr>
      </vt:variant>
      <vt:variant>
        <vt:lpwstr/>
      </vt:variant>
      <vt:variant>
        <vt:i4>6750264</vt:i4>
      </vt:variant>
      <vt:variant>
        <vt:i4>0</vt:i4>
      </vt:variant>
      <vt:variant>
        <vt:i4>0</vt:i4>
      </vt:variant>
      <vt:variant>
        <vt:i4>5</vt:i4>
      </vt:variant>
      <vt:variant>
        <vt:lpwstr>http://www.carvalhocamposadvocacia.com.br/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EXCELENTÍSSIMO SENHOR DOUTOR JUIZ PRESIDENTE DA JUNTA DE CONCILIAÇÃO E JULGAMENTO DE BARBACENA – MG</dc:title>
  <dc:subject/>
  <dc:creator>Roberto</dc:creator>
  <cp:keywords/>
  <dc:description/>
  <cp:lastModifiedBy>Alan Macedo</cp:lastModifiedBy>
  <cp:revision>3</cp:revision>
  <cp:lastPrinted>2018-06-14T21:01:00Z</cp:lastPrinted>
  <dcterms:created xsi:type="dcterms:W3CDTF">2018-11-21T13:17:00Z</dcterms:created>
  <dcterms:modified xsi:type="dcterms:W3CDTF">2018-11-21T20:43:00Z</dcterms:modified>
</cp:coreProperties>
</file>