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03BF6309" w:rsidR="000F5A50" w:rsidRPr="00DB2786" w:rsidRDefault="000F5A50" w:rsidP="0027664E">
      <w:pPr>
        <w:spacing w:after="0" w:line="360" w:lineRule="auto"/>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414532FA" w:rsidR="000F5A50" w:rsidRPr="00BB3951" w:rsidRDefault="001E1766" w:rsidP="00E62E44">
      <w:pPr>
        <w:pStyle w:val="CORPOHOMERO"/>
      </w:pPr>
      <w:r w:rsidRPr="00BB3951">
        <w:t xml:space="preserve">em desfavor de </w:t>
      </w:r>
      <w:r w:rsidRPr="00BB3951">
        <w:rPr>
          <w:b/>
          <w:bCs/>
        </w:rPr>
        <w:t>NOME DA</w:t>
      </w:r>
      <w:r w:rsidR="00762025">
        <w:rPr>
          <w:b/>
          <w:bCs/>
        </w:rPr>
        <w:t xml:space="preserve"> ADMINISTRADORA DE CARTÃO DE CRÉDITO</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3CD4342" w14:textId="11CF1743" w:rsidR="00D55A61" w:rsidRDefault="00F65260" w:rsidP="002B138B">
      <w:pPr>
        <w:pStyle w:val="CORPOHOMERO"/>
      </w:pPr>
      <w:r w:rsidRPr="00BB3951">
        <w:t xml:space="preserve">Em </w:t>
      </w:r>
      <w:r w:rsidR="008D72D4">
        <w:rPr>
          <w:u w:val="single"/>
        </w:rPr>
        <w:t>01</w:t>
      </w:r>
      <w:r w:rsidR="00BB1744">
        <w:rPr>
          <w:u w:val="single"/>
        </w:rPr>
        <w:t xml:space="preserve"> de </w:t>
      </w:r>
      <w:r w:rsidR="001636DD">
        <w:rPr>
          <w:u w:val="single"/>
        </w:rPr>
        <w:t>março</w:t>
      </w:r>
      <w:r w:rsidR="00BB1744">
        <w:rPr>
          <w:u w:val="single"/>
        </w:rPr>
        <w:t xml:space="preserve"> de </w:t>
      </w:r>
      <w:r w:rsidR="001636DD">
        <w:rPr>
          <w:u w:val="single"/>
        </w:rPr>
        <w:t>2017</w:t>
      </w:r>
      <w:r w:rsidRPr="00BB3951">
        <w:t xml:space="preserve">, </w:t>
      </w:r>
      <w:r w:rsidR="001636DD">
        <w:t>a parte d</w:t>
      </w:r>
      <w:r w:rsidRPr="00BB3951">
        <w:t xml:space="preserve">emandante </w:t>
      </w:r>
      <w:r w:rsidR="00EA78F2">
        <w:t>firmou contrato com a parte demandada de cartão de crédito (nº XXXX.XXXX.XXXX.XXXX)</w:t>
      </w:r>
      <w:r w:rsidR="00975FC3">
        <w:t xml:space="preserve">, que é destinado à realização de </w:t>
      </w:r>
      <w:r w:rsidR="00975FC3">
        <w:lastRenderedPageBreak/>
        <w:t xml:space="preserve">compras a prazo </w:t>
      </w:r>
      <w:r w:rsidR="0011367C">
        <w:t>junto aos estabelecimentos credenciados</w:t>
      </w:r>
      <w:r w:rsidR="00975FC3">
        <w:t xml:space="preserve"> pela parte demanda</w:t>
      </w:r>
      <w:r w:rsidR="006C2075">
        <w:t>da (v. contrato anexo).</w:t>
      </w:r>
    </w:p>
    <w:p w14:paraId="7C482B7A" w14:textId="0DAFA811" w:rsidR="003C7F75" w:rsidRDefault="005D5DD8" w:rsidP="00A62457">
      <w:pPr>
        <w:pStyle w:val="CORPOHOMERO"/>
      </w:pPr>
      <w:r>
        <w:t xml:space="preserve">No dia </w:t>
      </w:r>
      <w:r w:rsidRPr="004A1A83">
        <w:rPr>
          <w:color w:val="FF0000"/>
        </w:rPr>
        <w:t>13 de maio de 2018</w:t>
      </w:r>
      <w:r>
        <w:t>, a parte autora realizou compras no cartão de crédito acima identificado</w:t>
      </w:r>
      <w:r w:rsidR="003C7F75">
        <w:t xml:space="preserve">, no valor de </w:t>
      </w:r>
      <w:r w:rsidR="003C7F75" w:rsidRPr="004A1A83">
        <w:rPr>
          <w:color w:val="FF0000"/>
        </w:rPr>
        <w:t>R$ 1.500,00 (mil e quinhentos reais</w:t>
      </w:r>
      <w:r w:rsidR="00A8606C">
        <w:t>). No entanto, a difícil situação financeira da parte autora</w:t>
      </w:r>
      <w:r w:rsidR="00A62457">
        <w:t xml:space="preserve"> lhe impediu de pagar a integralidade da fatura vencida em </w:t>
      </w:r>
      <w:r w:rsidR="0033775B" w:rsidRPr="004A1A83">
        <w:rPr>
          <w:color w:val="FF0000"/>
        </w:rPr>
        <w:t>01 de junho de 2018</w:t>
      </w:r>
      <w:r w:rsidR="00A62457">
        <w:t>.</w:t>
      </w:r>
      <w:r w:rsidR="00270ACC">
        <w:t xml:space="preserve"> Somente foi paga a quantia de R$ </w:t>
      </w:r>
      <w:r w:rsidR="00270ACC" w:rsidRPr="004A1A83">
        <w:rPr>
          <w:color w:val="FF0000"/>
        </w:rPr>
        <w:t>300,00 (trezentos reais).</w:t>
      </w:r>
    </w:p>
    <w:p w14:paraId="3EB8F29E" w14:textId="267ACDD8" w:rsidR="008C65F6" w:rsidRPr="0043102F" w:rsidRDefault="00C834B6" w:rsidP="00ED7381">
      <w:pPr>
        <w:pStyle w:val="CORPOHOMERO"/>
        <w:rPr>
          <w:b/>
          <w:bCs/>
        </w:rPr>
      </w:pPr>
      <w:r>
        <w:t xml:space="preserve">Consequentemente, </w:t>
      </w:r>
      <w:r w:rsidR="009616AD" w:rsidRPr="0043102F">
        <w:rPr>
          <w:u w:val="single"/>
        </w:rPr>
        <w:t>o valor remanescente de R$ XXXX,XXX (por extenso)</w:t>
      </w:r>
      <w:r w:rsidR="00D64B46" w:rsidRPr="0043102F">
        <w:rPr>
          <w:u w:val="single"/>
        </w:rPr>
        <w:t xml:space="preserve"> sofreu acréscimos fixados no contrato</w:t>
      </w:r>
      <w:r w:rsidR="009F4D4F">
        <w:t xml:space="preserve">, </w:t>
      </w:r>
      <w:r w:rsidR="008C65F6">
        <w:t xml:space="preserve">a saber: </w:t>
      </w:r>
      <w:r w:rsidR="008C65F6" w:rsidRPr="0043102F">
        <w:rPr>
          <w:b/>
          <w:bCs/>
        </w:rPr>
        <w:t>juros remuneratórios mensais de 19,99%</w:t>
      </w:r>
      <w:r w:rsidR="005865AC" w:rsidRPr="0043102F">
        <w:rPr>
          <w:b/>
          <w:bCs/>
        </w:rPr>
        <w:t>, capitalização de mensal de juros e IOF.</w:t>
      </w:r>
    </w:p>
    <w:p w14:paraId="5B1CC477" w14:textId="1C679360" w:rsidR="00C25131" w:rsidRDefault="66FBC8AC" w:rsidP="00ED7381">
      <w:pPr>
        <w:pStyle w:val="CORPOHOMERO"/>
      </w:pPr>
      <w:r>
        <w:t>Daí em diante a parte autora não conseguiu mais adimplir as faturas, especialmente porque os valores pagos mensalmente eram consumidos para o pagamento dos encargos, de modo que a dívida principal nunca se reduzia.</w:t>
      </w:r>
    </w:p>
    <w:p w14:paraId="2F433379" w14:textId="092D4F0C" w:rsidR="001509C5" w:rsidRPr="000E75FC" w:rsidRDefault="66FBC8AC" w:rsidP="00ED7381">
      <w:pPr>
        <w:pStyle w:val="CORPOHOMERO"/>
        <w:rPr>
          <w:b/>
          <w:bCs/>
        </w:rPr>
      </w:pPr>
      <w:r>
        <w:t xml:space="preserve">Então, </w:t>
      </w:r>
      <w:r w:rsidRPr="66FBC8AC">
        <w:rPr>
          <w:u w:val="single"/>
        </w:rPr>
        <w:t xml:space="preserve">chegou-se ao ponto de a fatura de vencimento em </w:t>
      </w:r>
      <w:r w:rsidRPr="66FBC8AC">
        <w:rPr>
          <w:color w:val="FF0000"/>
          <w:u w:val="single"/>
        </w:rPr>
        <w:t xml:space="preserve">01 de dezembro de 2019 </w:t>
      </w:r>
      <w:r w:rsidRPr="66FBC8AC">
        <w:rPr>
          <w:u w:val="single"/>
        </w:rPr>
        <w:t xml:space="preserve">ser de R$ </w:t>
      </w:r>
      <w:r w:rsidRPr="66FBC8AC">
        <w:rPr>
          <w:color w:val="FF0000"/>
          <w:u w:val="single"/>
        </w:rPr>
        <w:t>XXXX,XXX</w:t>
      </w:r>
      <w:r w:rsidRPr="66FBC8AC">
        <w:rPr>
          <w:u w:val="single"/>
        </w:rPr>
        <w:t xml:space="preserve">, quando o valor escorreito seria de </w:t>
      </w:r>
      <w:r w:rsidRPr="66FBC8AC">
        <w:rPr>
          <w:color w:val="FF0000"/>
          <w:u w:val="single"/>
        </w:rPr>
        <w:t>R$ XXXX,XX (v. Parecer anexo).</w:t>
      </w:r>
    </w:p>
    <w:p w14:paraId="1317F5C9" w14:textId="48F88343" w:rsidR="001B1AC8" w:rsidRDefault="001B1AC8" w:rsidP="00ED7381">
      <w:pPr>
        <w:pStyle w:val="CORPOHOMERO"/>
      </w:pPr>
      <w:r>
        <w:t>Como será demonstra</w:t>
      </w:r>
      <w:r w:rsidR="00DF79C9">
        <w:t>do</w:t>
      </w:r>
      <w:r>
        <w:t xml:space="preserve"> nos tópicos seguintes, </w:t>
      </w:r>
      <w:r w:rsidRPr="00277B8B">
        <w:rPr>
          <w:b/>
          <w:bCs/>
          <w:u w:val="single"/>
        </w:rPr>
        <w:t xml:space="preserve">a parte demandada jamais poderia praticar os juros </w:t>
      </w:r>
      <w:r w:rsidR="00DF79C9" w:rsidRPr="00277B8B">
        <w:rPr>
          <w:b/>
          <w:bCs/>
          <w:u w:val="single"/>
        </w:rPr>
        <w:t>descritos nas faturas do cartã</w:t>
      </w:r>
      <w:r w:rsidR="00277A83" w:rsidRPr="00277B8B">
        <w:rPr>
          <w:b/>
          <w:bCs/>
          <w:u w:val="single"/>
        </w:rPr>
        <w:t>o, porque não é uma instituição financeira</w:t>
      </w:r>
      <w:r w:rsidR="00277A83">
        <w:t>.</w:t>
      </w:r>
    </w:p>
    <w:p w14:paraId="5AC34777" w14:textId="4115E803" w:rsidR="001110BB" w:rsidRDefault="001911FD" w:rsidP="000D7EA7">
      <w:pPr>
        <w:pStyle w:val="CORPOHOMERO"/>
      </w:pPr>
      <w:r>
        <w:t>Apesar disso, t</w:t>
      </w:r>
      <w:r w:rsidR="001110BB">
        <w:t xml:space="preserve">entou-se resolver a questão de modo amigável junto à instituição financeira, porém esta se mostrou </w:t>
      </w:r>
      <w:r w:rsidR="000128A6">
        <w:t xml:space="preserve">desinteressada </w:t>
      </w:r>
      <w:r w:rsidR="00B5773C">
        <w:t>em</w:t>
      </w:r>
      <w:r w:rsidR="001110BB">
        <w:t xml:space="preserve"> renegociar a dívida </w:t>
      </w:r>
      <w:r w:rsidR="000D7EA7">
        <w:t xml:space="preserve">dentro das condições da taxa de juros do banco central do brasil. </w:t>
      </w:r>
    </w:p>
    <w:p w14:paraId="76FB427B" w14:textId="4E062771" w:rsidR="0087423C" w:rsidRPr="00416236" w:rsidRDefault="00F65260" w:rsidP="0087423C">
      <w:pPr>
        <w:pStyle w:val="CORPOHOMERO"/>
        <w:rPr>
          <w:b/>
          <w:bCs/>
        </w:rPr>
      </w:pPr>
      <w:r w:rsidRPr="00BB3951">
        <w:t xml:space="preserve">Como será concretamente demonstrado doravante, </w:t>
      </w:r>
      <w:r w:rsidR="0087423C">
        <w:t>são absolutamente abusivas as taxas de juros remuneratórios praticadas no caso presente.</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078356BE" w14:textId="5D1D19D2" w:rsidR="66FBC8AC" w:rsidRDefault="66FBC8AC" w:rsidP="66FBC8AC">
      <w:pPr>
        <w:tabs>
          <w:tab w:val="left" w:pos="2160"/>
        </w:tabs>
        <w:spacing w:after="0" w:line="360" w:lineRule="auto"/>
        <w:ind w:firstLine="567"/>
        <w:jc w:val="both"/>
        <w:rPr>
          <w:rFonts w:asciiTheme="minorHAnsi" w:hAnsiTheme="minorHAnsi" w:cstheme="minorBidi"/>
          <w:b/>
          <w:bCs/>
          <w:sz w:val="24"/>
          <w:szCs w:val="24"/>
          <w:u w:val="single"/>
        </w:rPr>
      </w:pPr>
      <w:r w:rsidRPr="66FBC8AC">
        <w:rPr>
          <w:rFonts w:asciiTheme="minorHAnsi" w:hAnsiTheme="minorHAnsi" w:cstheme="minorBidi"/>
          <w:b/>
          <w:bCs/>
          <w:sz w:val="24"/>
          <w:szCs w:val="24"/>
          <w:u w:val="single"/>
        </w:rPr>
        <w:t>II. 1. Da limitação da taxa de juros remuneratórios e capitalização para as administradoras de cartão de crédito em sentido estrito:</w:t>
      </w:r>
    </w:p>
    <w:p w14:paraId="73F65E0A" w14:textId="77777777" w:rsidR="66FBC8AC" w:rsidRDefault="66FBC8AC" w:rsidP="66FBC8AC">
      <w:pPr>
        <w:tabs>
          <w:tab w:val="left" w:pos="2160"/>
        </w:tabs>
        <w:spacing w:after="0" w:line="360" w:lineRule="auto"/>
        <w:ind w:firstLine="1985"/>
        <w:jc w:val="both"/>
        <w:rPr>
          <w:rFonts w:asciiTheme="minorHAnsi" w:hAnsiTheme="minorHAnsi" w:cstheme="minorBidi"/>
          <w:sz w:val="24"/>
          <w:szCs w:val="24"/>
        </w:rPr>
      </w:pPr>
    </w:p>
    <w:p w14:paraId="2C923E70" w14:textId="6639CA20" w:rsidR="66FBC8AC" w:rsidRDefault="66FBC8AC" w:rsidP="66FBC8AC">
      <w:pPr>
        <w:pStyle w:val="CORPOHOMERO"/>
        <w:rPr>
          <w:szCs w:val="23"/>
        </w:rPr>
      </w:pPr>
      <w:r>
        <w:t xml:space="preserve">O STJ, a partir </w:t>
      </w:r>
      <w:r w:rsidRPr="66FBC8AC">
        <w:rPr>
          <w:rFonts w:cs="Calibri"/>
          <w:color w:val="000000" w:themeColor="text1"/>
          <w:szCs w:val="23"/>
        </w:rPr>
        <w:t>REsp 450.453/RS</w:t>
      </w:r>
      <w:r w:rsidRPr="66FBC8AC">
        <w:rPr>
          <w:rStyle w:val="Refdenotaderodap"/>
          <w:rFonts w:cs="Calibri"/>
          <w:color w:val="000000" w:themeColor="text1"/>
          <w:szCs w:val="23"/>
        </w:rPr>
        <w:footnoteReference w:id="2"/>
      </w:r>
      <w:r w:rsidRPr="66FBC8AC">
        <w:rPr>
          <w:rFonts w:cs="Calibri"/>
          <w:color w:val="000000" w:themeColor="text1"/>
          <w:szCs w:val="23"/>
        </w:rPr>
        <w:t xml:space="preserve">, decidiu que </w:t>
      </w:r>
      <w:r w:rsidRPr="66FBC8AC">
        <w:rPr>
          <w:rFonts w:cs="Calibri"/>
          <w:color w:val="000000" w:themeColor="text1"/>
          <w:szCs w:val="23"/>
          <w:u w:val="single"/>
        </w:rPr>
        <w:t>as administradoras de cartão se enquadravam no conceito de instituição financeira previsto na Lei 4.595/64</w:t>
      </w:r>
      <w:r w:rsidRPr="66FBC8AC">
        <w:rPr>
          <w:rFonts w:cs="Calibri"/>
          <w:color w:val="000000" w:themeColor="text1"/>
          <w:szCs w:val="23"/>
        </w:rPr>
        <w:t>. Inclusive editou o enunciado sumular nº 283</w:t>
      </w:r>
      <w:r w:rsidRPr="66FBC8AC">
        <w:rPr>
          <w:rStyle w:val="Refdenotaderodap"/>
          <w:rFonts w:cs="Calibri"/>
          <w:color w:val="000000" w:themeColor="text1"/>
          <w:szCs w:val="23"/>
        </w:rPr>
        <w:footnoteReference w:id="3"/>
      </w:r>
      <w:r w:rsidRPr="66FBC8AC">
        <w:rPr>
          <w:rFonts w:cs="Calibri"/>
          <w:color w:val="000000" w:themeColor="text1"/>
          <w:szCs w:val="23"/>
        </w:rPr>
        <w:t xml:space="preserve"> sobre o assunto.</w:t>
      </w:r>
    </w:p>
    <w:p w14:paraId="038B6AEF" w14:textId="1E9473D7" w:rsidR="66FBC8AC" w:rsidRDefault="66FBC8AC" w:rsidP="66FBC8AC">
      <w:pPr>
        <w:pStyle w:val="CORPOHOMERO"/>
        <w:rPr>
          <w:rFonts w:cs="Calibri"/>
          <w:color w:val="000000" w:themeColor="text1"/>
          <w:szCs w:val="23"/>
        </w:rPr>
      </w:pPr>
      <w:r w:rsidRPr="66FBC8AC">
        <w:rPr>
          <w:rFonts w:cs="Calibri"/>
          <w:color w:val="000000" w:themeColor="text1"/>
          <w:szCs w:val="23"/>
        </w:rPr>
        <w:t>Entretanto, o Tribunal da Cidadania voltou a enfrentar o tema na sua Segunda Seção</w:t>
      </w:r>
      <w:r w:rsidRPr="66FBC8AC">
        <w:rPr>
          <w:rStyle w:val="Refdenotaderodap"/>
          <w:rFonts w:cs="Calibri"/>
          <w:color w:val="000000" w:themeColor="text1"/>
          <w:szCs w:val="23"/>
        </w:rPr>
        <w:footnoteReference w:id="4"/>
      </w:r>
      <w:r w:rsidRPr="66FBC8AC">
        <w:rPr>
          <w:rFonts w:cs="Calibri"/>
          <w:color w:val="000000" w:themeColor="text1"/>
          <w:szCs w:val="23"/>
        </w:rPr>
        <w:t xml:space="preserve">. Neste caso, embora o objeto principal tenha sido a validade da cláusula-mandato em contrato de cartão de crédito, </w:t>
      </w:r>
      <w:r w:rsidRPr="66FBC8AC">
        <w:rPr>
          <w:rFonts w:cs="Calibri"/>
          <w:b/>
          <w:bCs/>
          <w:color w:val="000000" w:themeColor="text1"/>
          <w:szCs w:val="23"/>
        </w:rPr>
        <w:t>voto vencedor deixou expressamente consignado que as administradoras de cartão de crédito em sentido estrito não são instituições financeiras</w:t>
      </w:r>
      <w:r w:rsidRPr="66FBC8AC">
        <w:rPr>
          <w:rFonts w:cs="Calibri"/>
          <w:color w:val="000000" w:themeColor="text1"/>
          <w:szCs w:val="23"/>
        </w:rPr>
        <w:t>. Veja-se o trecho do voto:</w:t>
      </w:r>
    </w:p>
    <w:p w14:paraId="1610197F" w14:textId="049EDBCD" w:rsidR="66FBC8AC" w:rsidRDefault="66FBC8AC" w:rsidP="66FBC8AC">
      <w:pPr>
        <w:pStyle w:val="CORPOHOMERO"/>
        <w:ind w:left="1080" w:firstLine="0"/>
        <w:rPr>
          <w:sz w:val="19"/>
          <w:szCs w:val="19"/>
          <w:u w:val="single"/>
        </w:rPr>
      </w:pPr>
      <w:r w:rsidRPr="66FBC8AC">
        <w:rPr>
          <w:sz w:val="19"/>
          <w:szCs w:val="19"/>
        </w:rPr>
        <w:t>Não é esse, no entanto, o caso ora submetido a julgamento, visto que na presente hipótese verifica-se, efetivamente, u</w:t>
      </w:r>
      <w:r w:rsidRPr="66FBC8AC">
        <w:rPr>
          <w:b/>
          <w:bCs/>
          <w:sz w:val="19"/>
          <w:szCs w:val="19"/>
        </w:rPr>
        <w:t>m cartão do tipo private label, ou seja, a administradora do cartão de crédito não é um banco</w:t>
      </w:r>
      <w:r w:rsidRPr="66FBC8AC">
        <w:rPr>
          <w:sz w:val="19"/>
          <w:szCs w:val="19"/>
        </w:rPr>
        <w:t xml:space="preserve"> (...)</w:t>
      </w:r>
      <w:r w:rsidRPr="66FBC8AC">
        <w:rPr>
          <w:sz w:val="19"/>
          <w:szCs w:val="19"/>
          <w:u w:val="single"/>
        </w:rPr>
        <w:t>(g/n)</w:t>
      </w:r>
    </w:p>
    <w:p w14:paraId="533342AB" w14:textId="54A9F01B" w:rsidR="66FBC8AC" w:rsidRDefault="66FBC8AC" w:rsidP="66FBC8AC">
      <w:pPr>
        <w:pStyle w:val="CORPOHOMERO"/>
        <w:rPr>
          <w:rFonts w:cs="Calibri"/>
          <w:color w:val="000000" w:themeColor="text1"/>
          <w:szCs w:val="23"/>
        </w:rPr>
      </w:pPr>
      <w:r w:rsidRPr="66FBC8AC">
        <w:rPr>
          <w:rFonts w:cs="Calibri"/>
          <w:color w:val="000000" w:themeColor="text1"/>
          <w:szCs w:val="23"/>
        </w:rPr>
        <w:t>Mais recentemente, a Segunda Turma</w:t>
      </w:r>
      <w:r w:rsidRPr="66FBC8AC">
        <w:rPr>
          <w:rStyle w:val="Refdenotaderodap"/>
        </w:rPr>
        <w:footnoteReference w:id="5"/>
      </w:r>
      <w:r>
        <w:t xml:space="preserve"> fez uma clara distinção entre a instituição financeira que emite cartão de crédito e as administradoras de cartão de crédito em sentido estrito. Observe-se o seguinte excerto da ementa:</w:t>
      </w:r>
    </w:p>
    <w:p w14:paraId="18475766" w14:textId="5F4A2B63" w:rsidR="66FBC8AC" w:rsidRDefault="66FBC8AC" w:rsidP="66FBC8AC">
      <w:pPr>
        <w:pStyle w:val="CORPOHOMERO"/>
        <w:ind w:left="1080" w:firstLine="0"/>
        <w:rPr>
          <w:sz w:val="19"/>
          <w:szCs w:val="19"/>
        </w:rPr>
      </w:pPr>
      <w:r w:rsidRPr="66FBC8AC">
        <w:rPr>
          <w:sz w:val="19"/>
          <w:szCs w:val="19"/>
        </w:rPr>
        <w:t>4. Relativamente à i</w:t>
      </w:r>
      <w:r w:rsidRPr="66FBC8AC">
        <w:rPr>
          <w:b/>
          <w:bCs/>
          <w:sz w:val="19"/>
          <w:szCs w:val="19"/>
          <w:u w:val="single"/>
        </w:rPr>
        <w:t>nstituição financeira que emite cartão de crédito</w:t>
      </w:r>
      <w:r w:rsidRPr="66FBC8AC">
        <w:rPr>
          <w:sz w:val="19"/>
          <w:szCs w:val="19"/>
        </w:rPr>
        <w:t>, o inadimplemento da fatura dá ensejo à celebração de um contrato de mútuo, com elas próprias assumindo a posição de mutuante. Todavia, essa instituição já era fiscalizada pelo BACEN ao tempo da propositura da demanda, nos termos da art. 10, IX, da Lei 4.595/64, pois inequívoca a prática de típica operação financeira.</w:t>
      </w:r>
    </w:p>
    <w:p w14:paraId="66F2FD9C" w14:textId="2E746074" w:rsidR="66FBC8AC" w:rsidRDefault="66FBC8AC" w:rsidP="66FBC8AC">
      <w:pPr>
        <w:pStyle w:val="CORPOHOMERO"/>
        <w:ind w:left="1080" w:firstLine="0"/>
        <w:rPr>
          <w:sz w:val="19"/>
          <w:szCs w:val="19"/>
        </w:rPr>
      </w:pPr>
      <w:r w:rsidRPr="66FBC8AC">
        <w:rPr>
          <w:sz w:val="19"/>
          <w:szCs w:val="19"/>
        </w:rPr>
        <w:t xml:space="preserve">5. No que importa à </w:t>
      </w:r>
      <w:r w:rsidRPr="66FBC8AC">
        <w:rPr>
          <w:b/>
          <w:bCs/>
          <w:sz w:val="19"/>
          <w:szCs w:val="19"/>
          <w:u w:val="single"/>
        </w:rPr>
        <w:t>operadora de cartão de crédito em sentido estrito</w:t>
      </w:r>
      <w:r w:rsidRPr="66FBC8AC">
        <w:rPr>
          <w:sz w:val="19"/>
          <w:szCs w:val="19"/>
        </w:rPr>
        <w:t xml:space="preserve"> -, o seu papel de intermediação entre o cliente e a instituição financeira para os fins de quitação da fatura não paga na integralidade </w:t>
      </w:r>
      <w:r w:rsidRPr="66FBC8AC">
        <w:rPr>
          <w:sz w:val="19"/>
          <w:szCs w:val="19"/>
          <w:u w:val="single"/>
        </w:rPr>
        <w:t>não se confunde com a "intermediação financeira" do art. 17 da Lei 4.595/1964,</w:t>
      </w:r>
      <w:r w:rsidRPr="66FBC8AC">
        <w:rPr>
          <w:sz w:val="19"/>
          <w:szCs w:val="19"/>
        </w:rPr>
        <w:t xml:space="preserve"> pois, nessa hipótese, para financiar as dívidas de seus clientes, ela somente os representa perante as instituições financeiras, atuando como simples mandatária.</w:t>
      </w:r>
    </w:p>
    <w:p w14:paraId="28C3312A" w14:textId="3842EE24" w:rsidR="66FBC8AC" w:rsidRDefault="66FBC8AC" w:rsidP="66FBC8AC">
      <w:pPr>
        <w:pStyle w:val="CORPOHOMERO"/>
        <w:ind w:left="1080" w:firstLine="0"/>
        <w:rPr>
          <w:sz w:val="19"/>
          <w:szCs w:val="19"/>
        </w:rPr>
      </w:pPr>
      <w:r w:rsidRPr="66FBC8AC">
        <w:rPr>
          <w:sz w:val="19"/>
          <w:szCs w:val="19"/>
        </w:rPr>
        <w:t xml:space="preserve">6. Dito de outra forma, </w:t>
      </w:r>
      <w:r w:rsidRPr="66FBC8AC">
        <w:rPr>
          <w:b/>
          <w:bCs/>
          <w:sz w:val="19"/>
          <w:szCs w:val="19"/>
        </w:rPr>
        <w:t>essa intermediação não tem natureza financeira porque a operadora de cartão de crédito não capta recursos de forma direta junto aos investidores no mercado financeiro</w:t>
      </w:r>
      <w:r w:rsidRPr="66FBC8AC">
        <w:rPr>
          <w:sz w:val="19"/>
          <w:szCs w:val="19"/>
        </w:rPr>
        <w:t xml:space="preserve"> - tal como faz uma instituição financeira no exercício de atividade privativa -, e sim representa o seu cliente junto a uma instituição financeira para obter o crédito necessário para o adimplemento da fatura. (g/n)</w:t>
      </w:r>
    </w:p>
    <w:p w14:paraId="0C07F2C0" w14:textId="18FAC76A" w:rsidR="66FBC8AC" w:rsidRDefault="66FBC8AC" w:rsidP="66FBC8AC">
      <w:pPr>
        <w:pStyle w:val="CORPOHOMERO"/>
        <w:rPr>
          <w:szCs w:val="23"/>
        </w:rPr>
      </w:pPr>
      <w:r w:rsidRPr="66FBC8AC">
        <w:rPr>
          <w:szCs w:val="23"/>
        </w:rPr>
        <w:t xml:space="preserve">Assim sendo, </w:t>
      </w:r>
      <w:r w:rsidRPr="66FBC8AC">
        <w:rPr>
          <w:b/>
          <w:bCs/>
          <w:szCs w:val="23"/>
        </w:rPr>
        <w:t>tem-se que as administradoras de cartão de crédito em sentido estrito não se amoldam ao conceito de instituição financeira</w:t>
      </w:r>
      <w:r w:rsidRPr="66FBC8AC">
        <w:rPr>
          <w:szCs w:val="23"/>
        </w:rPr>
        <w:t xml:space="preserve"> esculpido pelo art. 17 da Lei 4.595/64, bem como </w:t>
      </w:r>
      <w:r w:rsidRPr="66FBC8AC">
        <w:rPr>
          <w:b/>
          <w:bCs/>
          <w:szCs w:val="23"/>
        </w:rPr>
        <w:t>não se enquadram na figura da instituição financeira por equiparação</w:t>
      </w:r>
      <w:r w:rsidRPr="66FBC8AC">
        <w:rPr>
          <w:szCs w:val="23"/>
        </w:rPr>
        <w:t xml:space="preserve"> prevista no art. 18 da mesma lei.</w:t>
      </w:r>
      <w:r w:rsidRPr="66FBC8AC">
        <w:rPr>
          <w:rStyle w:val="Refdenotaderodap"/>
          <w:szCs w:val="23"/>
        </w:rPr>
        <w:footnoteReference w:id="6"/>
      </w:r>
    </w:p>
    <w:p w14:paraId="093163F8" w14:textId="3821584D" w:rsidR="66FBC8AC" w:rsidRPr="00E7520E" w:rsidRDefault="66FBC8AC" w:rsidP="00E7520E">
      <w:pPr>
        <w:pStyle w:val="CORPOHOMERO"/>
      </w:pPr>
      <w:r w:rsidRPr="00E7520E">
        <w:t xml:space="preserve">Como isso, é curial a revisão da posição firmada no enunciado sumular nº 283 do STJ, para o fim decompor o conceito de administradora de cartão de crédito em duas espécies, a saber: a administradora vinculada à instituição financeira e administradora em sentido estrito, que não é e não está ligada a uma instituição financeira, como bem assentado no já citado REsp </w:t>
      </w:r>
      <w:hyperlink r:id="rId9">
        <w:r w:rsidRPr="00E7520E">
          <w:rPr>
            <w:rStyle w:val="Hyperlink"/>
            <w:color w:val="auto"/>
            <w:u w:val="none"/>
          </w:rPr>
          <w:t>1359624/SP</w:t>
        </w:r>
      </w:hyperlink>
      <w:r w:rsidRPr="00E7520E">
        <w:t>, Rel. Ministro MAURO CAMPBELL MARQUES, SEGUNDA TURMA, julgado em 10/03/2020, DJe 26/06/2020.</w:t>
      </w:r>
    </w:p>
    <w:p w14:paraId="003AD566" w14:textId="71E7DD49" w:rsidR="66FBC8AC" w:rsidRDefault="66FBC8AC" w:rsidP="66FBC8AC">
      <w:pPr>
        <w:pStyle w:val="CORPOHOMERO"/>
        <w:rPr>
          <w:szCs w:val="23"/>
        </w:rPr>
      </w:pPr>
      <w:r w:rsidRPr="66FBC8AC">
        <w:rPr>
          <w:szCs w:val="23"/>
        </w:rPr>
        <w:t>Se não são instituições financeiras, não lhes é dado operar no mercado financeiro nos moldes dos bancos, tanto que a Lei 12.865/2013 expressamente veio a consignar que as instituições de pagamento não podem realizar atividades típicas de instituições financeira (art. 6º, §2º).</w:t>
      </w:r>
    </w:p>
    <w:p w14:paraId="065518BF" w14:textId="4AA91635" w:rsidR="66FBC8AC" w:rsidRDefault="66FBC8AC" w:rsidP="66FBC8AC">
      <w:pPr>
        <w:pStyle w:val="CORPOHOMERO"/>
        <w:rPr>
          <w:szCs w:val="23"/>
        </w:rPr>
      </w:pPr>
      <w:r w:rsidRPr="66FBC8AC">
        <w:rPr>
          <w:szCs w:val="23"/>
        </w:rPr>
        <w:t xml:space="preserve">Esse cenário enseja a conclusão de que </w:t>
      </w:r>
      <w:r w:rsidRPr="66FBC8AC">
        <w:rPr>
          <w:szCs w:val="23"/>
          <w:u w:val="single"/>
        </w:rPr>
        <w:t>a Resolução CMN nº 1.064/95</w:t>
      </w:r>
      <w:r w:rsidRPr="66FBC8AC">
        <w:rPr>
          <w:rStyle w:val="Refdenotaderodap"/>
          <w:szCs w:val="23"/>
          <w:u w:val="single"/>
        </w:rPr>
        <w:footnoteReference w:id="7"/>
      </w:r>
      <w:r w:rsidRPr="66FBC8AC">
        <w:rPr>
          <w:szCs w:val="23"/>
          <w:u w:val="single"/>
        </w:rPr>
        <w:t>, a Medida Provisória 1.963/00 (art. 5º) e a Lei 10.931/04 (art. 28, §1º) não se aplicam às administradoras de cartão em sentido estrito</w:t>
      </w:r>
      <w:r w:rsidRPr="66FBC8AC">
        <w:rPr>
          <w:szCs w:val="23"/>
        </w:rPr>
        <w:t>, porque são normas aplicáveis apenas às instituições financeiras.</w:t>
      </w:r>
    </w:p>
    <w:p w14:paraId="2E98B014" w14:textId="4D8A4F6C" w:rsidR="66FBC8AC" w:rsidRDefault="66FBC8AC" w:rsidP="66FBC8AC">
      <w:pPr>
        <w:pStyle w:val="CORPOHOMERO"/>
        <w:rPr>
          <w:szCs w:val="23"/>
        </w:rPr>
      </w:pPr>
      <w:r w:rsidRPr="66FBC8AC">
        <w:rPr>
          <w:szCs w:val="23"/>
        </w:rPr>
        <w:t>Como essas administradoras operam por meio da cláusula-mandato, o financiamento das faturas do cartão é realizado por meio da representação do consumidor pela administradora, onde esta toma no mercado financeiro crédito em representação aos consumidores</w:t>
      </w:r>
      <w:r w:rsidRPr="66FBC8AC">
        <w:rPr>
          <w:rStyle w:val="Refdenotaderodap"/>
          <w:szCs w:val="23"/>
        </w:rPr>
        <w:footnoteReference w:id="8"/>
      </w:r>
      <w:r w:rsidRPr="66FBC8AC">
        <w:rPr>
          <w:szCs w:val="23"/>
        </w:rPr>
        <w:t xml:space="preserve">. Desse modo, </w:t>
      </w:r>
      <w:r w:rsidRPr="66FBC8AC">
        <w:rPr>
          <w:b/>
          <w:bCs/>
          <w:szCs w:val="23"/>
        </w:rPr>
        <w:t>o limite de juros no caso do cartão de crédito é aquele compatível com a taxa de juros do crédito contratado por força da cláusula mandato.</w:t>
      </w:r>
    </w:p>
    <w:p w14:paraId="38CE1E72" w14:textId="469AF6C6" w:rsidR="66FBC8AC" w:rsidRDefault="66FBC8AC" w:rsidP="66FBC8AC">
      <w:pPr>
        <w:pStyle w:val="CORPOHOMERO"/>
        <w:rPr>
          <w:szCs w:val="23"/>
          <w:u w:val="single"/>
        </w:rPr>
      </w:pPr>
      <w:r w:rsidRPr="66FBC8AC">
        <w:rPr>
          <w:szCs w:val="23"/>
        </w:rPr>
        <w:t xml:space="preserve">Se a administradora de cartão não apresenta ao consumidor a taxa de juros efetivamente utilizada na contratação do crédito por meio da cláusula-mandato, </w:t>
      </w:r>
      <w:r w:rsidRPr="66FBC8AC">
        <w:rPr>
          <w:b/>
          <w:bCs/>
          <w:szCs w:val="23"/>
          <w:u w:val="single"/>
        </w:rPr>
        <w:t xml:space="preserve">tem-se que a regência do caso será a regra prevista no §3º e caput do art. 1º da Lei da Usura (Decreto nº 22.626/33), </w:t>
      </w:r>
      <w:r w:rsidRPr="66FBC8AC">
        <w:rPr>
          <w:szCs w:val="23"/>
        </w:rPr>
        <w:t xml:space="preserve">ou seja, </w:t>
      </w:r>
      <w:r w:rsidRPr="66FBC8AC">
        <w:rPr>
          <w:b/>
          <w:bCs/>
          <w:szCs w:val="23"/>
          <w:u w:val="single"/>
        </w:rPr>
        <w:t>a taxa de juros será de 12% ao ano.</w:t>
      </w:r>
    </w:p>
    <w:p w14:paraId="7DF0E7C3" w14:textId="7E328915" w:rsidR="66FBC8AC" w:rsidRDefault="66FBC8AC" w:rsidP="66FBC8AC">
      <w:pPr>
        <w:pStyle w:val="CORPOHOMERO"/>
        <w:rPr>
          <w:rFonts w:cs="Calibri"/>
          <w:color w:val="000000" w:themeColor="text1"/>
          <w:szCs w:val="23"/>
        </w:rPr>
      </w:pPr>
      <w:r w:rsidRPr="66FBC8AC">
        <w:rPr>
          <w:rFonts w:cs="Calibri"/>
          <w:color w:val="000000" w:themeColor="text1"/>
          <w:szCs w:val="23"/>
        </w:rPr>
        <w:t>Essa posição é albergada pelas duas turmas de direito privado do Superior Tribunal de Justiça. Veja-se:</w:t>
      </w:r>
    </w:p>
    <w:p w14:paraId="3EE41250" w14:textId="2FB5EA37" w:rsidR="66FBC8AC" w:rsidRDefault="66FBC8AC" w:rsidP="66FBC8AC">
      <w:pPr>
        <w:pStyle w:val="CORPOHOMERO"/>
        <w:ind w:left="1134" w:firstLine="0"/>
        <w:rPr>
          <w:rFonts w:cs="Calibri"/>
          <w:color w:val="000000" w:themeColor="text1"/>
          <w:sz w:val="19"/>
          <w:szCs w:val="19"/>
        </w:rPr>
      </w:pPr>
      <w:r w:rsidRPr="66FBC8AC">
        <w:rPr>
          <w:rFonts w:cs="Calibri"/>
          <w:color w:val="000000" w:themeColor="text1"/>
          <w:sz w:val="19"/>
          <w:szCs w:val="19"/>
        </w:rPr>
        <w:t>3. O mútuo celebrado entre particulares, que não integram o sistema financeiro nacional, deve observar as regras constitucionais e de direito civil, mormente o disposto na Lei de Usura, que fixa juros remuneratórios máximos de 12% ao ano (Decreto 22.626/33, art. 1º e §3º). Incidência da Súmula 83/STJ.</w:t>
      </w:r>
    </w:p>
    <w:p w14:paraId="2C22BC2B" w14:textId="58E98538" w:rsidR="66FBC8AC" w:rsidRDefault="66FBC8AC" w:rsidP="66FBC8AC">
      <w:pPr>
        <w:pStyle w:val="CORPOHOMERO"/>
        <w:ind w:left="1134" w:firstLine="0"/>
        <w:rPr>
          <w:rFonts w:cs="Calibri"/>
          <w:color w:val="000000" w:themeColor="text1"/>
          <w:sz w:val="19"/>
          <w:szCs w:val="19"/>
        </w:rPr>
      </w:pPr>
      <w:r w:rsidRPr="66FBC8AC">
        <w:rPr>
          <w:rFonts w:cs="Calibri"/>
          <w:color w:val="000000" w:themeColor="text1"/>
          <w:sz w:val="19"/>
          <w:szCs w:val="19"/>
        </w:rPr>
        <w:t>4. Agravo interno desprovido.</w:t>
      </w:r>
    </w:p>
    <w:p w14:paraId="1B1777C3" w14:textId="4D3559B4" w:rsidR="66FBC8AC" w:rsidRDefault="66FBC8AC" w:rsidP="66FBC8AC">
      <w:pPr>
        <w:pStyle w:val="CORPOHOMERO"/>
        <w:ind w:left="1134" w:firstLine="0"/>
        <w:rPr>
          <w:rFonts w:cs="Calibri"/>
          <w:color w:val="000000" w:themeColor="text1"/>
          <w:sz w:val="19"/>
          <w:szCs w:val="19"/>
          <w:vertAlign w:val="superscript"/>
        </w:rPr>
      </w:pPr>
      <w:r w:rsidRPr="66FBC8AC">
        <w:rPr>
          <w:rFonts w:cs="Calibri"/>
          <w:color w:val="000000" w:themeColor="text1"/>
          <w:sz w:val="19"/>
          <w:szCs w:val="19"/>
        </w:rPr>
        <w:t>(AgInt no AREsp 1844367/SP, Rel. Ministro MARCO BUZZI, QUARTA TURMA, julgado em 29/11/2021, DJe 01/12/2021)</w:t>
      </w:r>
      <w:r w:rsidRPr="66FBC8AC">
        <w:rPr>
          <w:rStyle w:val="Refdenotaderodap"/>
          <w:rFonts w:cs="Calibri"/>
          <w:color w:val="000000" w:themeColor="text1"/>
          <w:sz w:val="19"/>
          <w:szCs w:val="19"/>
        </w:rPr>
        <w:footnoteReference w:id="9"/>
      </w:r>
    </w:p>
    <w:p w14:paraId="27FA9D0C" w14:textId="6656852A" w:rsidR="66FBC8AC" w:rsidRDefault="66FBC8AC" w:rsidP="66FBC8AC">
      <w:pPr>
        <w:pStyle w:val="CORPOHOMERO"/>
        <w:rPr>
          <w:szCs w:val="23"/>
        </w:rPr>
      </w:pPr>
      <w:r w:rsidRPr="66FBC8AC">
        <w:rPr>
          <w:szCs w:val="23"/>
        </w:rPr>
        <w:t>Do mesmo modo,</w:t>
      </w:r>
      <w:r w:rsidRPr="66FBC8AC">
        <w:rPr>
          <w:b/>
          <w:bCs/>
          <w:szCs w:val="23"/>
        </w:rPr>
        <w:t xml:space="preserve"> </w:t>
      </w:r>
      <w:r w:rsidRPr="66FBC8AC">
        <w:rPr>
          <w:b/>
          <w:bCs/>
          <w:szCs w:val="23"/>
          <w:u w:val="single"/>
        </w:rPr>
        <w:t>tem-se que a capitalização de juros não poderá ser com periodicidade inferior à anual</w:t>
      </w:r>
      <w:r w:rsidRPr="66FBC8AC">
        <w:rPr>
          <w:szCs w:val="23"/>
        </w:rPr>
        <w:t>, por força do art. 4º da Lei da Usura. E isso é sufragado pelo Supremo Tribunal Federal no enunciado nº 121</w:t>
      </w:r>
      <w:r w:rsidRPr="66FBC8AC">
        <w:rPr>
          <w:rStyle w:val="Refdenotaderodap"/>
          <w:szCs w:val="23"/>
        </w:rPr>
        <w:footnoteReference w:id="10"/>
      </w:r>
    </w:p>
    <w:p w14:paraId="21B515D5" w14:textId="2CEFD0A4" w:rsidR="66FBC8AC" w:rsidRDefault="66FBC8AC" w:rsidP="66FBC8AC">
      <w:pPr>
        <w:pStyle w:val="CORPOHOMERO"/>
        <w:rPr>
          <w:szCs w:val="23"/>
        </w:rPr>
      </w:pPr>
      <w:r w:rsidRPr="66FBC8AC">
        <w:rPr>
          <w:szCs w:val="23"/>
        </w:rPr>
        <w:t xml:space="preserve">Subsidiariamente, </w:t>
      </w:r>
      <w:r w:rsidRPr="007C70EA">
        <w:rPr>
          <w:szCs w:val="23"/>
          <w:u w:val="single"/>
        </w:rPr>
        <w:t xml:space="preserve">o máximo que poderíamos alcançar é aplicação da taxa </w:t>
      </w:r>
      <w:r w:rsidR="0011367C" w:rsidRPr="007C70EA">
        <w:rPr>
          <w:szCs w:val="23"/>
          <w:u w:val="single"/>
        </w:rPr>
        <w:t>Selic</w:t>
      </w:r>
      <w:r w:rsidRPr="66FBC8AC">
        <w:rPr>
          <w:szCs w:val="23"/>
        </w:rPr>
        <w:t xml:space="preserve"> a título de juros remuneratórios, à luz da interpretação do art. 591 e 406, ambos do Código Civil, combinado com o art. 161 do CTN, porque </w:t>
      </w:r>
      <w:r w:rsidRPr="66FBC8AC">
        <w:rPr>
          <w:rFonts w:cs="Calibri"/>
          <w:color w:val="000000" w:themeColor="text1"/>
          <w:szCs w:val="23"/>
        </w:rPr>
        <w:t>legislação tributária atualmente fixa a SELIC como a taxa de juros para os tributos federais (v. arts. 13 da Lei 9.065/95; 84 da Lei 8.981/95; 39, § 4º, da Lei 9.250/95; 61, § 3º, da Lei 9.430/96; e 30 da Lei 10.522/02).</w:t>
      </w:r>
      <w:r w:rsidRPr="66FBC8AC">
        <w:rPr>
          <w:rStyle w:val="Refdenotaderodap"/>
          <w:szCs w:val="23"/>
        </w:rPr>
        <w:footnoteReference w:id="11"/>
      </w:r>
    </w:p>
    <w:p w14:paraId="26296BEA" w14:textId="025CE5EF" w:rsidR="66FBC8AC" w:rsidRDefault="66FBC8AC" w:rsidP="66FBC8AC">
      <w:pPr>
        <w:pStyle w:val="CORPOHOMERO"/>
        <w:rPr>
          <w:szCs w:val="23"/>
        </w:rPr>
      </w:pPr>
      <w:r w:rsidRPr="66FBC8AC">
        <w:rPr>
          <w:szCs w:val="23"/>
        </w:rPr>
        <w:t xml:space="preserve">No caso presente, </w:t>
      </w:r>
      <w:r w:rsidRPr="66FBC8AC">
        <w:rPr>
          <w:b/>
          <w:bCs/>
          <w:szCs w:val="23"/>
        </w:rPr>
        <w:t>a parte demandada não é um banco ou outra instituição financeira análoga</w:t>
      </w:r>
      <w:r w:rsidRPr="66FBC8AC">
        <w:rPr>
          <w:szCs w:val="23"/>
        </w:rPr>
        <w:t>, porque não exerce a atividade típica de coleta, intermediação ou aplicação de recursos financeiros próprios ou de terceiros, como assim não realiza a custódia de valores de propriedade de terceiros.</w:t>
      </w:r>
    </w:p>
    <w:p w14:paraId="192F3AE3" w14:textId="7F18645D" w:rsidR="66FBC8AC" w:rsidRDefault="66FBC8AC" w:rsidP="66FBC8AC">
      <w:pPr>
        <w:pStyle w:val="CORPOHOMERO"/>
        <w:rPr>
          <w:szCs w:val="23"/>
        </w:rPr>
      </w:pPr>
      <w:r w:rsidRPr="66FBC8AC">
        <w:rPr>
          <w:szCs w:val="23"/>
        </w:rPr>
        <w:t>Para que seu direito à informação fosse resguardado, buscou-se obter informações sobre a taxa de juros utilizada pela demandada, porém esta não apresentou qualquer resposta.</w:t>
      </w:r>
      <w:r w:rsidR="007C70EA">
        <w:rPr>
          <w:szCs w:val="23"/>
        </w:rPr>
        <w:t xml:space="preserve"> Com isso, deve ser presumido que não houve a tomada de crédito no mercado financeiro</w:t>
      </w:r>
      <w:r w:rsidR="009C63A7">
        <w:rPr>
          <w:szCs w:val="23"/>
        </w:rPr>
        <w:t>, e sim verdadeira prática abusiva de utilizar recursos próprios para financiar as faturas, o que não é cabível por não ser uma instituição financeira.</w:t>
      </w:r>
    </w:p>
    <w:p w14:paraId="2ABA01D5" w14:textId="1D7D51DF" w:rsidR="66FBC8AC" w:rsidRDefault="66FBC8AC" w:rsidP="66FBC8AC">
      <w:pPr>
        <w:pStyle w:val="CORPOHOMERO"/>
        <w:rPr>
          <w:szCs w:val="23"/>
        </w:rPr>
      </w:pPr>
      <w:r w:rsidRPr="66FBC8AC">
        <w:rPr>
          <w:szCs w:val="23"/>
        </w:rPr>
        <w:t xml:space="preserve">Assim, </w:t>
      </w:r>
      <w:r w:rsidRPr="66FBC8AC">
        <w:rPr>
          <w:b/>
          <w:bCs/>
          <w:szCs w:val="23"/>
        </w:rPr>
        <w:t>a conclusão é a de que devem ser declaradas nulas</w:t>
      </w:r>
      <w:r w:rsidRPr="66FBC8AC">
        <w:rPr>
          <w:szCs w:val="23"/>
        </w:rPr>
        <w:t>, na forma do art. 1º, da MP 2.172/2001 c/c art. 51, IV, do CDC, as seguintes cláusulas contratuais:</w:t>
      </w:r>
    </w:p>
    <w:p w14:paraId="6859EB59" w14:textId="08621EB5" w:rsidR="66FBC8AC" w:rsidRDefault="66FBC8AC" w:rsidP="66FBC8AC">
      <w:pPr>
        <w:pStyle w:val="CORPOHOMERO"/>
        <w:numPr>
          <w:ilvl w:val="1"/>
          <w:numId w:val="1"/>
        </w:numPr>
        <w:rPr>
          <w:rFonts w:cs="Calibri"/>
          <w:szCs w:val="23"/>
        </w:rPr>
      </w:pPr>
      <w:r w:rsidRPr="66FBC8AC">
        <w:rPr>
          <w:szCs w:val="23"/>
        </w:rPr>
        <w:t xml:space="preserve">Que estabeleceu juros remuneratórios superiores a 12% ao ano e, caso não seja esse o entendimento, que sejam limitados à taxa </w:t>
      </w:r>
      <w:r w:rsidR="0011367C" w:rsidRPr="66FBC8AC">
        <w:rPr>
          <w:szCs w:val="23"/>
        </w:rPr>
        <w:t>Selic</w:t>
      </w:r>
      <w:r w:rsidRPr="66FBC8AC">
        <w:rPr>
          <w:szCs w:val="23"/>
        </w:rPr>
        <w:t xml:space="preserve"> do período;</w:t>
      </w:r>
    </w:p>
    <w:p w14:paraId="5F1DBA2A" w14:textId="4B285C76" w:rsidR="66FBC8AC" w:rsidRDefault="66FBC8AC" w:rsidP="66FBC8AC">
      <w:pPr>
        <w:pStyle w:val="CORPOHOMERO"/>
        <w:numPr>
          <w:ilvl w:val="1"/>
          <w:numId w:val="1"/>
        </w:numPr>
        <w:rPr>
          <w:szCs w:val="23"/>
        </w:rPr>
      </w:pPr>
      <w:r w:rsidRPr="66FBC8AC">
        <w:rPr>
          <w:rFonts w:cs="Calibri"/>
          <w:color w:val="000000" w:themeColor="text1"/>
          <w:szCs w:val="23"/>
        </w:rPr>
        <w:t>Que fixou a capitalização mensal de juros, substituindo-a pela capitalização anual de juros.</w:t>
      </w:r>
    </w:p>
    <w:p w14:paraId="29B2AD87" w14:textId="6F7D39F2" w:rsidR="66FBC8AC" w:rsidRDefault="66FBC8AC" w:rsidP="66FBC8AC">
      <w:pPr>
        <w:tabs>
          <w:tab w:val="left" w:pos="2160"/>
        </w:tabs>
        <w:spacing w:after="0" w:line="360" w:lineRule="auto"/>
        <w:jc w:val="both"/>
      </w:pPr>
    </w:p>
    <w:p w14:paraId="50482DC0" w14:textId="38F1DCE1" w:rsidR="00381652" w:rsidRPr="00BB3951" w:rsidRDefault="66FBC8AC" w:rsidP="66FBC8AC">
      <w:pPr>
        <w:tabs>
          <w:tab w:val="left" w:pos="2160"/>
        </w:tabs>
        <w:spacing w:after="0" w:line="360" w:lineRule="auto"/>
        <w:ind w:firstLine="567"/>
        <w:jc w:val="both"/>
        <w:rPr>
          <w:rFonts w:asciiTheme="minorHAnsi" w:hAnsiTheme="minorHAnsi" w:cstheme="minorBidi"/>
          <w:b/>
          <w:bCs/>
          <w:sz w:val="24"/>
          <w:szCs w:val="24"/>
          <w:u w:val="single"/>
        </w:rPr>
      </w:pPr>
      <w:r w:rsidRPr="66FBC8AC">
        <w:rPr>
          <w:rFonts w:asciiTheme="minorHAnsi" w:hAnsiTheme="minorHAnsi" w:cstheme="minorBidi"/>
          <w:b/>
          <w:bCs/>
          <w:sz w:val="24"/>
          <w:szCs w:val="24"/>
          <w:u w:val="single"/>
        </w:rPr>
        <w:t>II. 2.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6FB95662" w14:textId="77777777" w:rsidR="00E801AF" w:rsidRPr="00BB3951" w:rsidRDefault="00E801AF" w:rsidP="00E801AF">
      <w:pPr>
        <w:pStyle w:val="CORPOHOMERO"/>
      </w:pPr>
      <w:r w:rsidRPr="00BB3951">
        <w:t>As cláusulas contratuais objeto desta ação já estão anunciadas nas linhas volvidas.</w:t>
      </w:r>
    </w:p>
    <w:p w14:paraId="3433E351" w14:textId="7562D5C9" w:rsidR="00E801AF" w:rsidRDefault="00E801AF" w:rsidP="00E801AF">
      <w:pPr>
        <w:pStyle w:val="CORPOHOMERO"/>
        <w:rPr>
          <w:sz w:val="20"/>
          <w:szCs w:val="20"/>
        </w:rPr>
      </w:pPr>
      <w:r w:rsidRPr="00BB3951">
        <w:t xml:space="preserve">Em decorrência das abusividades contratuais apontadas nesta ação, </w:t>
      </w:r>
      <w:r>
        <w:t xml:space="preserve">apresenta-se em anexo a memória de cálculo detalhada para se indicar que o </w:t>
      </w:r>
      <w:r w:rsidRPr="00906A7C">
        <w:rPr>
          <w:u w:val="single"/>
        </w:rPr>
        <w:t>saldo devedor do contrato tem o valor incontroverso de</w:t>
      </w:r>
      <w:r>
        <w:t xml:space="preserve"> </w:t>
      </w:r>
      <w:r w:rsidR="008A30A7" w:rsidRPr="008A30A7">
        <w:rPr>
          <w:b/>
          <w:bCs/>
        </w:rPr>
        <w:t>R$ 4.370,00</w:t>
      </w:r>
      <w:r w:rsidRPr="00BB3951">
        <w:rPr>
          <w:b/>
          <w:bCs/>
        </w:rPr>
        <w:t xml:space="preserve"> (por extenso)</w:t>
      </w:r>
      <w:r>
        <w:rPr>
          <w:b/>
          <w:bCs/>
        </w:rPr>
        <w:t xml:space="preserve"> </w:t>
      </w:r>
      <w:r w:rsidRPr="0084448E">
        <w:t xml:space="preserve">para fins do </w:t>
      </w:r>
      <w:r>
        <w:t>art. 330, §3º, CPC.</w:t>
      </w:r>
      <w:r w:rsidRPr="18498DC6">
        <w:rPr>
          <w:sz w:val="20"/>
          <w:szCs w:val="20"/>
        </w:rPr>
        <w:t xml:space="preserve"> </w:t>
      </w:r>
    </w:p>
    <w:p w14:paraId="5939E07D" w14:textId="77777777" w:rsidR="00D221E9" w:rsidRDefault="00D221E9" w:rsidP="009709EB">
      <w:pPr>
        <w:pStyle w:val="CORPOHOMERO"/>
      </w:pPr>
    </w:p>
    <w:p w14:paraId="64D6170D" w14:textId="42E90FCF" w:rsidR="00D221E9" w:rsidRDefault="66FBC8AC" w:rsidP="66FBC8AC">
      <w:pPr>
        <w:tabs>
          <w:tab w:val="left" w:pos="2160"/>
        </w:tabs>
        <w:spacing w:after="0" w:line="360" w:lineRule="auto"/>
        <w:ind w:firstLine="567"/>
        <w:jc w:val="both"/>
        <w:rPr>
          <w:rFonts w:asciiTheme="minorHAnsi" w:hAnsiTheme="minorHAnsi" w:cstheme="minorBidi"/>
          <w:b/>
          <w:bCs/>
          <w:sz w:val="24"/>
          <w:szCs w:val="24"/>
          <w:u w:val="single"/>
        </w:rPr>
      </w:pPr>
      <w:r w:rsidRPr="66FBC8AC">
        <w:rPr>
          <w:rFonts w:asciiTheme="minorHAnsi" w:hAnsiTheme="minorHAnsi" w:cstheme="minorBidi"/>
          <w:b/>
          <w:bCs/>
          <w:sz w:val="24"/>
          <w:szCs w:val="24"/>
          <w:u w:val="single"/>
        </w:rPr>
        <w:t>II. 3. Afastamento da mora:</w:t>
      </w:r>
    </w:p>
    <w:p w14:paraId="0AC2EF9B" w14:textId="77777777" w:rsidR="00D221E9" w:rsidRDefault="00D221E9" w:rsidP="00D221E9">
      <w:pPr>
        <w:pStyle w:val="CORPOHOMERO"/>
      </w:pPr>
      <w:r>
        <w:t xml:space="preserve">O Superior Tribunal de Justiça já fixou </w:t>
      </w:r>
      <w:r>
        <w:rPr>
          <w:u w:val="single"/>
        </w:rPr>
        <w:t>tese repetitiva</w:t>
      </w:r>
      <w:r>
        <w:t xml:space="preserve"> de que a revisão dos </w:t>
      </w:r>
      <w:r>
        <w:rPr>
          <w:b/>
          <w:bCs/>
        </w:rPr>
        <w:t>juros remuneratórios</w:t>
      </w:r>
      <w:r>
        <w:t xml:space="preserve"> e/ou da </w:t>
      </w:r>
      <w:r>
        <w:rPr>
          <w:b/>
          <w:bCs/>
        </w:rPr>
        <w:t xml:space="preserve">capitalização de juros </w:t>
      </w:r>
      <w:r>
        <w:t>afasta a mora do consumidor.</w:t>
      </w:r>
      <w:r w:rsidRPr="66FBC8AC">
        <w:rPr>
          <w:rStyle w:val="Refdenotaderodap"/>
          <w:rFonts w:asciiTheme="minorHAnsi" w:hAnsiTheme="minorHAnsi" w:cstheme="minorBidi"/>
          <w:sz w:val="24"/>
          <w:szCs w:val="24"/>
        </w:rPr>
        <w:footnoteReference w:id="12"/>
      </w:r>
    </w:p>
    <w:p w14:paraId="736EBD8F" w14:textId="0B7622DD" w:rsidR="00D221E9" w:rsidRDefault="66FBC8AC" w:rsidP="00D221E9">
      <w:pPr>
        <w:pStyle w:val="CORPOHOMERO"/>
      </w:pPr>
      <w:r>
        <w:t xml:space="preserve">O </w:t>
      </w:r>
      <w:r w:rsidRPr="66FBC8AC">
        <w:rPr>
          <w:b/>
          <w:bCs/>
        </w:rPr>
        <w:t>debate desta ação</w:t>
      </w:r>
      <w:r>
        <w:t xml:space="preserve"> envolve justamente </w:t>
      </w:r>
      <w:r w:rsidRPr="66FBC8AC">
        <w:rPr>
          <w:u w:val="single"/>
        </w:rPr>
        <w:t>encargos do período da normalidade contratual</w:t>
      </w:r>
      <w:r>
        <w:t xml:space="preserve">, isto é, </w:t>
      </w:r>
      <w:r w:rsidRPr="00966E14">
        <w:rPr>
          <w:b/>
          <w:bCs/>
        </w:rPr>
        <w:t xml:space="preserve">juros remuneratórios e </w:t>
      </w:r>
      <w:r w:rsidR="00966E14" w:rsidRPr="00966E14">
        <w:rPr>
          <w:b/>
          <w:bCs/>
        </w:rPr>
        <w:t>capitalização</w:t>
      </w:r>
      <w:r>
        <w:t>. Mais do que isso. Está demonstrada a clara abusividade dos encargos.</w:t>
      </w:r>
    </w:p>
    <w:p w14:paraId="7A6B1640" w14:textId="7EA6988B" w:rsidR="00D221E9" w:rsidRDefault="00D221E9" w:rsidP="00D221E9">
      <w:pPr>
        <w:pStyle w:val="CORPOHOMERO"/>
        <w:rPr>
          <w:rFonts w:ascii="Times New Roman" w:eastAsia="SimSun" w:hAnsi="Times New Roman"/>
          <w:sz w:val="24"/>
          <w:szCs w:val="24"/>
          <w:lang w:eastAsia="pt-BR"/>
        </w:rPr>
      </w:pPr>
      <w:r>
        <w:t xml:space="preserve">Logo, com a procedência desse pedido, </w:t>
      </w:r>
      <w:r>
        <w:rPr>
          <w:b/>
          <w:bCs/>
        </w:rPr>
        <w:t xml:space="preserve">deve ser acolhido o pedido para afastar a mora </w:t>
      </w:r>
      <w:r>
        <w:rPr>
          <w:b/>
          <w:bCs/>
          <w:i/>
          <w:iCs/>
        </w:rPr>
        <w:t>debendi</w:t>
      </w:r>
      <w:r>
        <w:t xml:space="preserve">, assim permanecendo até o final julgamento definitivo da demanda. </w:t>
      </w:r>
    </w:p>
    <w:p w14:paraId="45D452D0" w14:textId="77777777" w:rsidR="009709EB" w:rsidRPr="00BB3951" w:rsidRDefault="009709EB" w:rsidP="009709EB">
      <w:pPr>
        <w:tabs>
          <w:tab w:val="left" w:pos="2160"/>
        </w:tabs>
        <w:spacing w:after="0" w:line="360" w:lineRule="auto"/>
        <w:ind w:firstLine="567"/>
        <w:jc w:val="both"/>
        <w:rPr>
          <w:rFonts w:asciiTheme="minorHAnsi" w:hAnsiTheme="minorHAnsi" w:cstheme="minorHAnsi"/>
          <w:b/>
          <w:sz w:val="24"/>
          <w:szCs w:val="24"/>
          <w:u w:val="single"/>
        </w:rPr>
      </w:pPr>
    </w:p>
    <w:p w14:paraId="7D79CC53" w14:textId="2413F780" w:rsidR="009709EB" w:rsidRPr="00BB3951" w:rsidRDefault="66FBC8AC" w:rsidP="66FBC8AC">
      <w:pPr>
        <w:tabs>
          <w:tab w:val="left" w:pos="2160"/>
        </w:tabs>
        <w:spacing w:after="0" w:line="360" w:lineRule="auto"/>
        <w:ind w:firstLine="567"/>
        <w:jc w:val="both"/>
        <w:rPr>
          <w:rFonts w:asciiTheme="minorHAnsi" w:hAnsiTheme="minorHAnsi" w:cstheme="minorBidi"/>
          <w:b/>
          <w:bCs/>
          <w:sz w:val="24"/>
          <w:szCs w:val="24"/>
          <w:u w:val="single"/>
        </w:rPr>
      </w:pPr>
      <w:r w:rsidRPr="66FBC8AC">
        <w:rPr>
          <w:rFonts w:asciiTheme="minorHAnsi" w:hAnsiTheme="minorHAnsi" w:cstheme="minorBidi"/>
          <w:b/>
          <w:bCs/>
          <w:sz w:val="24"/>
          <w:szCs w:val="24"/>
          <w:u w:val="single"/>
        </w:rPr>
        <w:t>II. 4. Repetição do Indébito</w:t>
      </w:r>
    </w:p>
    <w:p w14:paraId="44A09964" w14:textId="77777777" w:rsidR="009709EB" w:rsidRPr="00BB3951" w:rsidRDefault="009709EB" w:rsidP="009709EB">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60297A4D" w14:textId="5DCE76E0" w:rsidR="009709EB" w:rsidRPr="00BB3951" w:rsidRDefault="009709EB" w:rsidP="009709EB">
      <w:pPr>
        <w:pStyle w:val="CORPOHOMERO"/>
      </w:pPr>
      <w:r w:rsidRPr="00BB3951">
        <w:t>Assinala-se que a restituição em dobro se faz necessária como penalidade, diante da deliberada má-fé da requerida</w:t>
      </w:r>
      <w:r w:rsidR="00966E14">
        <w:t>, porque sabe que não é uma instituição financeira,</w:t>
      </w:r>
      <w:r w:rsidRPr="00BB3951">
        <w:t xml:space="preserve"> todavia continua com as práticas abusivas.</w:t>
      </w:r>
    </w:p>
    <w:p w14:paraId="3245C82C" w14:textId="7ADF3058" w:rsidR="009709EB" w:rsidRPr="00BB3951" w:rsidRDefault="009709EB" w:rsidP="009709EB">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66FBC8AC">
        <w:rPr>
          <w:rStyle w:val="Refdenotaderodap"/>
          <w:rFonts w:asciiTheme="minorHAnsi" w:hAnsiTheme="minorHAnsi" w:cstheme="minorBidi"/>
          <w:b/>
          <w:bCs/>
          <w:sz w:val="24"/>
          <w:szCs w:val="24"/>
        </w:rPr>
        <w:footnoteReference w:id="13"/>
      </w:r>
      <w:r w:rsidRPr="00BB3951">
        <w:t xml:space="preserve"> à parte autora, a título de repetição de indébito, a quantia que pagou a mais em relação ao contrato questionado,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3AD9E36A" w:rsidR="000F5A50" w:rsidRPr="00BB3951" w:rsidRDefault="66FBC8AC" w:rsidP="66FBC8AC">
      <w:pPr>
        <w:tabs>
          <w:tab w:val="left" w:pos="2160"/>
        </w:tabs>
        <w:spacing w:after="0" w:line="360" w:lineRule="auto"/>
        <w:ind w:firstLine="567"/>
        <w:jc w:val="both"/>
        <w:rPr>
          <w:rFonts w:asciiTheme="minorHAnsi" w:hAnsiTheme="minorHAnsi" w:cstheme="minorBidi"/>
          <w:b/>
          <w:bCs/>
          <w:sz w:val="24"/>
          <w:szCs w:val="24"/>
          <w:u w:val="single"/>
        </w:rPr>
      </w:pPr>
      <w:r w:rsidRPr="66FBC8AC">
        <w:rPr>
          <w:rFonts w:asciiTheme="minorHAnsi" w:hAnsiTheme="minorHAnsi" w:cstheme="minorBidi"/>
          <w:b/>
          <w:bCs/>
          <w:sz w:val="24"/>
          <w:szCs w:val="24"/>
          <w:u w:val="single"/>
        </w:rPr>
        <w:t>II. 5.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5F4EAC45" w:rsidR="00014E9D" w:rsidRPr="00BB3951" w:rsidRDefault="66FBC8AC" w:rsidP="00B03D30">
      <w:pPr>
        <w:pStyle w:val="CORPOHOMERO"/>
      </w:pPr>
      <w:r>
        <w:t xml:space="preserve">A documentação anexa demonstra que </w:t>
      </w:r>
      <w:r w:rsidRPr="00966E14">
        <w:rPr>
          <w:u w:val="single"/>
        </w:rPr>
        <w:t>a demandada não é instituição financeira</w:t>
      </w:r>
      <w:r>
        <w:t xml:space="preserve">. Com isso, está sujeita aos limites legais de juros, sendo que isso não foi observado no caso presente. Ao contrário, houve a cobrança de juros remuneratórios abusivos e foram capitalizados os juros com periodicidade mensal quando esta é vedada para esse tipo de empresa. </w:t>
      </w:r>
    </w:p>
    <w:p w14:paraId="1A07EEC8" w14:textId="65B897EB" w:rsidR="66FBC8AC" w:rsidRDefault="66FBC8AC" w:rsidP="66FBC8AC">
      <w:pPr>
        <w:pStyle w:val="CORPOHOMERO"/>
        <w:rPr>
          <w:szCs w:val="23"/>
        </w:rPr>
      </w:pPr>
      <w:r w:rsidRPr="66FBC8AC">
        <w:rPr>
          <w:szCs w:val="23"/>
        </w:rPr>
        <w:t>Ao lado disso, houve demonstração de que a demanda não apresentou comprovantes da taxa de juros que foram aplicadas no exercício da cláusula-mandato objeto do contrato.</w:t>
      </w:r>
    </w:p>
    <w:p w14:paraId="0E13703B" w14:textId="4526D6FD" w:rsidR="66FBC8AC" w:rsidRDefault="66FBC8AC" w:rsidP="66FBC8AC">
      <w:pPr>
        <w:pStyle w:val="CORPOHOMERO"/>
        <w:rPr>
          <w:szCs w:val="23"/>
          <w:u w:val="single"/>
        </w:rPr>
      </w:pPr>
      <w:r>
        <w:t xml:space="preserve">Além disso, é certo que a </w:t>
      </w:r>
      <w:r w:rsidRPr="66FBC8AC">
        <w:rPr>
          <w:b/>
          <w:bCs/>
        </w:rPr>
        <w:t>parte demandante é pessoa hipossuficiente</w:t>
      </w:r>
      <w:r>
        <w:t xml:space="preserve">, tanto pelo prisma </w:t>
      </w:r>
      <w:r w:rsidRPr="66FBC8AC">
        <w:rPr>
          <w:u w:val="single"/>
        </w:rPr>
        <w:t>econômico</w:t>
      </w:r>
      <w:r>
        <w:t xml:space="preserve"> (v. provas anexas) quanto pelo </w:t>
      </w:r>
      <w:r w:rsidRPr="66FBC8AC">
        <w:rPr>
          <w:u w:val="single"/>
        </w:rPr>
        <w:t>técnico</w:t>
      </w:r>
      <w:r>
        <w:t xml:space="preserve">.  Aqui incide sobre o Consumidor a plena dificuldade de produzir provas em seu favor, uma vez que a parte autora </w:t>
      </w:r>
      <w:r w:rsidRPr="66FBC8AC">
        <w:rPr>
          <w:u w:val="single"/>
        </w:rPr>
        <w:t>não tem a mínima condição de demonstrar a taxa de juros do mútuo tomado para financiar a fatura do cartão.</w:t>
      </w:r>
    </w:p>
    <w:p w14:paraId="6881D6ED" w14:textId="1FC484D8" w:rsidR="66FBC8AC" w:rsidRDefault="66FBC8AC" w:rsidP="66FBC8AC">
      <w:pPr>
        <w:pStyle w:val="CORPOHOMERO"/>
        <w:rPr>
          <w:szCs w:val="23"/>
        </w:rPr>
      </w:pPr>
      <w:r>
        <w:t xml:space="preserve">De outro lado, </w:t>
      </w:r>
      <w:r w:rsidRPr="66FBC8AC">
        <w:rPr>
          <w:u w:val="single"/>
        </w:rPr>
        <w:t>a produção da prova é fácil ao fornecedor</w:t>
      </w:r>
      <w:r>
        <w:t>, mormente porque é ele que tomou o crédito em representação à parte consumidora.</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66FBC8AC">
        <w:rPr>
          <w:rStyle w:val="Refdenotaderodap"/>
          <w:rFonts w:asciiTheme="minorHAnsi" w:hAnsiTheme="minorHAnsi" w:cstheme="minorBidi"/>
          <w:sz w:val="24"/>
          <w:szCs w:val="24"/>
        </w:rPr>
        <w:footnoteReference w:id="14"/>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7B777A34" w14:textId="7D6B5CF7" w:rsidR="66FBC8AC" w:rsidRDefault="66FBC8AC" w:rsidP="66FBC8AC">
      <w:pPr>
        <w:pStyle w:val="CORPOHOMERO"/>
        <w:rPr>
          <w:szCs w:val="23"/>
        </w:rPr>
      </w:pPr>
      <w:r>
        <w:t xml:space="preserve">Os </w:t>
      </w:r>
      <w:r w:rsidRPr="66FBC8AC">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66FBC8AC">
        <w:rPr>
          <w:u w:val="single"/>
        </w:rPr>
        <w:t>há evidências de que os juros praticados no contrato questionado nesta ação são completamente abusivos</w:t>
      </w:r>
      <w:r>
        <w:t>, porque não respeitam o limite legal fixado para contratos com administradora de cartão de crédito em sentido estrito.</w:t>
      </w:r>
    </w:p>
    <w:p w14:paraId="55F621D1" w14:textId="16D48AEE" w:rsidR="00E262D7" w:rsidRPr="00BB3951" w:rsidRDefault="66FBC8AC" w:rsidP="00E262D7">
      <w:pPr>
        <w:pStyle w:val="CORPOHOMERO"/>
      </w:pPr>
      <w:r>
        <w:t xml:space="preserve">Certamente, se for antecipada a tutela para que a autora pague o valor escorreito da fatura, </w:t>
      </w:r>
      <w:r w:rsidRPr="66FBC8AC">
        <w:rPr>
          <w:u w:val="single"/>
        </w:rPr>
        <w:t>não haverá risco de descumprimento do contrato</w:t>
      </w:r>
      <w:r>
        <w:t xml:space="preserve">, como também </w:t>
      </w:r>
      <w:r w:rsidRPr="66FBC8AC">
        <w:rPr>
          <w:u w:val="single"/>
        </w:rPr>
        <w:t>não privará a parte autora de parte de sua remuneração mensal.</w:t>
      </w:r>
      <w:r>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5E7C3786" w14:textId="77777777"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D4BF3A" w14:textId="03A1CEBD" w:rsidR="00E262D7" w:rsidRPr="00BB3951" w:rsidRDefault="00E262D7" w:rsidP="00E262D7">
      <w:pPr>
        <w:pStyle w:val="CORPOHOMERO"/>
      </w:pPr>
      <w:r>
        <w:t xml:space="preserve">Dessa arte, merece ser concedida a tutela de urgência satisfativa (antecipada) no caso presente, para determinar que </w:t>
      </w:r>
      <w:r w:rsidRPr="18498DC6">
        <w:rPr>
          <w:b/>
          <w:bCs/>
        </w:rPr>
        <w:t xml:space="preserve">a Demandada </w:t>
      </w:r>
      <w:r w:rsidR="00826141">
        <w:rPr>
          <w:b/>
          <w:bCs/>
        </w:rPr>
        <w:t>expeça nova fatura do cartão n</w:t>
      </w:r>
      <w:r>
        <w:rPr>
          <w:b/>
          <w:bCs/>
        </w:rPr>
        <w:t xml:space="preserve">o valor incontroverso desta demanda, </w:t>
      </w:r>
      <w:r>
        <w:t>ou seja, R$ XXXX,XX, sem a incidência de encargos moratórios de qualquer ordem.</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10"/>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10"/>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10"/>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0870F171" w:rsidR="00012727" w:rsidRDefault="00012727" w:rsidP="00012727">
      <w:pPr>
        <w:pStyle w:val="PargrafodaLista"/>
        <w:numPr>
          <w:ilvl w:val="2"/>
          <w:numId w:val="10"/>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que a Demandada </w:t>
      </w:r>
      <w:r w:rsidR="00826141">
        <w:rPr>
          <w:rFonts w:asciiTheme="minorHAnsi" w:hAnsiTheme="minorHAnsi" w:cstheme="minorBidi"/>
          <w:sz w:val="20"/>
          <w:szCs w:val="20"/>
        </w:rPr>
        <w:t>expeça nova fatura do cartão no valor incontroverso de</w:t>
      </w:r>
      <w:r w:rsidRPr="00B42374">
        <w:rPr>
          <w:rFonts w:asciiTheme="minorHAnsi" w:hAnsiTheme="minorHAnsi" w:cstheme="minorBidi"/>
          <w:sz w:val="20"/>
          <w:szCs w:val="20"/>
        </w:rPr>
        <w:t xml:space="preserve"> R$ XXXX,XX, sem a incidência de encargos moratórios de qualquer ordem</w:t>
      </w:r>
      <w:r>
        <w:rPr>
          <w:rFonts w:asciiTheme="minorHAnsi" w:hAnsiTheme="minorHAnsi" w:cstheme="minorBidi"/>
          <w:sz w:val="20"/>
          <w:szCs w:val="20"/>
        </w:rPr>
        <w:t>;</w:t>
      </w:r>
    </w:p>
    <w:p w14:paraId="321DC0FD" w14:textId="1C6FBCE4" w:rsidR="009965A3" w:rsidRDefault="009965A3" w:rsidP="00012727">
      <w:pPr>
        <w:pStyle w:val="PargrafodaLista"/>
        <w:numPr>
          <w:ilvl w:val="2"/>
          <w:numId w:val="10"/>
        </w:numPr>
        <w:spacing w:after="0"/>
        <w:ind w:left="2552"/>
        <w:jc w:val="both"/>
        <w:rPr>
          <w:rFonts w:asciiTheme="minorHAnsi" w:hAnsiTheme="minorHAnsi" w:cstheme="minorBidi"/>
          <w:sz w:val="20"/>
          <w:szCs w:val="20"/>
        </w:rPr>
      </w:pPr>
      <w:r>
        <w:rPr>
          <w:rFonts w:asciiTheme="minorHAnsi" w:hAnsiTheme="minorHAnsi" w:cstheme="minorBidi"/>
          <w:sz w:val="20"/>
          <w:szCs w:val="20"/>
        </w:rPr>
        <w:t xml:space="preserve">impedir que a parte demandada pratique qualquer ato de cobrança do valor controvertido, inclusive que seja vedada a negativação do nome da parte autora </w:t>
      </w:r>
      <w:r w:rsidR="007D333A">
        <w:rPr>
          <w:rFonts w:asciiTheme="minorHAnsi" w:hAnsiTheme="minorHAnsi" w:cstheme="minorBidi"/>
          <w:sz w:val="20"/>
          <w:szCs w:val="20"/>
        </w:rPr>
        <w:t>depois de estar pago o valor incontroverso;</w:t>
      </w:r>
    </w:p>
    <w:p w14:paraId="3FFB4C02" w14:textId="77777777" w:rsidR="00012727" w:rsidRPr="00BB3951" w:rsidRDefault="00012727" w:rsidP="00012727">
      <w:pPr>
        <w:pStyle w:val="PargrafodaLista"/>
        <w:numPr>
          <w:ilvl w:val="2"/>
          <w:numId w:val="10"/>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28E4AFF6" w:rsidR="000F5A50" w:rsidRPr="00BB3951" w:rsidRDefault="18498DC6" w:rsidP="18498DC6">
      <w:pPr>
        <w:pStyle w:val="PargrafodaLista"/>
        <w:numPr>
          <w:ilvl w:val="0"/>
          <w:numId w:val="10"/>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54AAE4B7" w14:textId="77777777" w:rsidR="008E5EEE" w:rsidRDefault="008E5EEE" w:rsidP="000F5A50">
      <w:pPr>
        <w:pStyle w:val="PargrafodaLista"/>
        <w:spacing w:after="0" w:line="360" w:lineRule="auto"/>
        <w:rPr>
          <w:rFonts w:asciiTheme="minorHAnsi" w:hAnsiTheme="minorHAnsi" w:cstheme="minorHAnsi"/>
          <w:b/>
          <w:szCs w:val="24"/>
        </w:rPr>
      </w:pP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92D5EF9" w:rsidR="000F5A50" w:rsidRPr="00012727" w:rsidRDefault="18498DC6" w:rsidP="00DC46C6">
      <w:pPr>
        <w:pStyle w:val="PargrafodaLista"/>
        <w:numPr>
          <w:ilvl w:val="0"/>
          <w:numId w:val="10"/>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especialmente quais </w:t>
      </w:r>
      <w:r w:rsidR="0080315B">
        <w:rPr>
          <w:rFonts w:asciiTheme="minorHAnsi" w:hAnsiTheme="minorHAnsi" w:cstheme="minorBidi"/>
        </w:rPr>
        <w:t>foram as taxas de juros utilizadas no contrato derivado da cláusula de mandato</w:t>
      </w:r>
      <w:r w:rsidRPr="00012727">
        <w:rPr>
          <w:rFonts w:asciiTheme="minorHAnsi" w:hAnsiTheme="minorHAnsi" w:cstheme="minorBidi"/>
        </w:rPr>
        <w:t xml:space="preserve">.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10"/>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DC02416" w14:textId="4673FC1C" w:rsidR="66FBC8AC" w:rsidRDefault="66FBC8AC" w:rsidP="66FBC8AC">
      <w:pPr>
        <w:pStyle w:val="PargrafodaLista"/>
        <w:numPr>
          <w:ilvl w:val="0"/>
          <w:numId w:val="10"/>
        </w:numPr>
        <w:spacing w:after="0"/>
        <w:ind w:left="2552"/>
        <w:jc w:val="both"/>
        <w:rPr>
          <w:rFonts w:asciiTheme="minorHAnsi" w:hAnsiTheme="minorHAnsi" w:cstheme="minorBidi"/>
          <w:sz w:val="20"/>
          <w:szCs w:val="20"/>
        </w:rPr>
      </w:pPr>
      <w:r w:rsidRPr="66FBC8AC">
        <w:rPr>
          <w:rFonts w:asciiTheme="minorHAnsi" w:hAnsiTheme="minorHAnsi" w:cstheme="minorBidi"/>
          <w:b/>
          <w:bCs/>
          <w:sz w:val="20"/>
          <w:szCs w:val="20"/>
        </w:rPr>
        <w:t xml:space="preserve">Declarar </w:t>
      </w:r>
      <w:r w:rsidRPr="66FBC8AC">
        <w:rPr>
          <w:rFonts w:asciiTheme="minorHAnsi" w:hAnsiTheme="minorHAnsi" w:cstheme="minorBidi"/>
          <w:sz w:val="20"/>
          <w:szCs w:val="20"/>
        </w:rPr>
        <w:t>a abusividade da</w:t>
      </w:r>
      <w:r w:rsidRPr="66FBC8AC">
        <w:rPr>
          <w:rFonts w:asciiTheme="minorHAnsi" w:hAnsiTheme="minorHAnsi" w:cstheme="minorBidi"/>
          <w:b/>
          <w:bCs/>
          <w:sz w:val="20"/>
          <w:szCs w:val="20"/>
        </w:rPr>
        <w:t xml:space="preserve"> </w:t>
      </w:r>
      <w:r w:rsidRPr="66FBC8AC">
        <w:rPr>
          <w:rFonts w:asciiTheme="minorHAnsi" w:hAnsiTheme="minorHAnsi" w:cstheme="minorBidi"/>
          <w:sz w:val="20"/>
          <w:szCs w:val="20"/>
        </w:rPr>
        <w:t>cláusula E.4 (juros remuneratórios), substituindo-se as taxas de juros remuneratórios (</w:t>
      </w:r>
      <w:r w:rsidRPr="66FBC8AC">
        <w:rPr>
          <w:rFonts w:asciiTheme="minorHAnsi" w:hAnsiTheme="minorHAnsi" w:cstheme="minorBidi"/>
          <w:sz w:val="20"/>
          <w:szCs w:val="20"/>
          <w:u w:val="single"/>
        </w:rPr>
        <w:t>da normalidade e da mora</w:t>
      </w:r>
      <w:r w:rsidRPr="66FBC8AC">
        <w:rPr>
          <w:rFonts w:asciiTheme="minorHAnsi" w:hAnsiTheme="minorHAnsi" w:cstheme="minorBidi"/>
          <w:sz w:val="20"/>
          <w:szCs w:val="20"/>
        </w:rPr>
        <w:t xml:space="preserve">) do contrato pela taxa máxima de 12% ao ano ou, eventualmente, pela taxa </w:t>
      </w:r>
      <w:r w:rsidR="0011367C" w:rsidRPr="66FBC8AC">
        <w:rPr>
          <w:rFonts w:asciiTheme="minorHAnsi" w:hAnsiTheme="minorHAnsi" w:cstheme="minorBidi"/>
          <w:sz w:val="20"/>
          <w:szCs w:val="20"/>
        </w:rPr>
        <w:t>Selic</w:t>
      </w:r>
      <w:r w:rsidRPr="66FBC8AC">
        <w:rPr>
          <w:rFonts w:asciiTheme="minorHAnsi" w:hAnsiTheme="minorHAnsi" w:cstheme="minorBidi"/>
          <w:sz w:val="20"/>
          <w:szCs w:val="20"/>
        </w:rPr>
        <w:t xml:space="preserve"> </w:t>
      </w:r>
      <w:r w:rsidR="00966E14">
        <w:rPr>
          <w:rFonts w:asciiTheme="minorHAnsi" w:hAnsiTheme="minorHAnsi" w:cstheme="minorBidi"/>
          <w:sz w:val="20"/>
          <w:szCs w:val="20"/>
        </w:rPr>
        <w:t>corresponde</w:t>
      </w:r>
      <w:r w:rsidR="00B56C82">
        <w:rPr>
          <w:rFonts w:asciiTheme="minorHAnsi" w:hAnsiTheme="minorHAnsi" w:cstheme="minorBidi"/>
          <w:sz w:val="20"/>
          <w:szCs w:val="20"/>
        </w:rPr>
        <w:t>nte</w:t>
      </w:r>
      <w:r w:rsidR="00966E14">
        <w:rPr>
          <w:rFonts w:asciiTheme="minorHAnsi" w:hAnsiTheme="minorHAnsi" w:cstheme="minorBidi"/>
          <w:sz w:val="20"/>
          <w:szCs w:val="20"/>
        </w:rPr>
        <w:t xml:space="preserve"> ao</w:t>
      </w:r>
      <w:r w:rsidRPr="66FBC8AC">
        <w:rPr>
          <w:rFonts w:asciiTheme="minorHAnsi" w:hAnsiTheme="minorHAnsi" w:cstheme="minorBidi"/>
          <w:sz w:val="20"/>
          <w:szCs w:val="20"/>
        </w:rPr>
        <w:t xml:space="preserve"> período </w:t>
      </w:r>
      <w:r w:rsidR="00966E14" w:rsidRPr="66FBC8AC">
        <w:rPr>
          <w:rFonts w:asciiTheme="minorHAnsi" w:hAnsiTheme="minorHAnsi" w:cstheme="minorBidi"/>
          <w:sz w:val="20"/>
          <w:szCs w:val="20"/>
        </w:rPr>
        <w:t>contratual</w:t>
      </w:r>
      <w:r w:rsidR="00966E14">
        <w:rPr>
          <w:rFonts w:asciiTheme="minorHAnsi" w:hAnsiTheme="minorHAnsi" w:cstheme="minorBidi"/>
          <w:sz w:val="20"/>
          <w:szCs w:val="20"/>
        </w:rPr>
        <w:t xml:space="preserve"> em que incidiram juros pelo pagamento a menor da totalidade das faturas, no período de ___ a ____</w:t>
      </w:r>
      <w:r w:rsidRPr="66FBC8AC">
        <w:rPr>
          <w:rFonts w:asciiTheme="minorHAnsi" w:hAnsiTheme="minorHAnsi" w:cstheme="minorBidi"/>
          <w:sz w:val="20"/>
          <w:szCs w:val="20"/>
        </w:rPr>
        <w:t>;</w:t>
      </w:r>
    </w:p>
    <w:p w14:paraId="4BBE7CF9" w14:textId="63888952" w:rsidR="66FBC8AC" w:rsidRDefault="66FBC8AC" w:rsidP="66FBC8AC">
      <w:pPr>
        <w:spacing w:after="0"/>
        <w:ind w:left="1832"/>
        <w:jc w:val="both"/>
      </w:pPr>
    </w:p>
    <w:p w14:paraId="68ACE31E" w14:textId="48B3F64E" w:rsidR="66FBC8AC" w:rsidRDefault="66FBC8AC" w:rsidP="66FBC8AC">
      <w:pPr>
        <w:pStyle w:val="PargrafodaLista"/>
        <w:numPr>
          <w:ilvl w:val="0"/>
          <w:numId w:val="10"/>
        </w:numPr>
        <w:spacing w:after="0"/>
        <w:ind w:left="2552"/>
        <w:jc w:val="both"/>
        <w:rPr>
          <w:rFonts w:asciiTheme="minorHAnsi" w:eastAsiaTheme="minorEastAsia" w:hAnsiTheme="minorHAnsi" w:cstheme="minorBidi"/>
        </w:rPr>
      </w:pPr>
      <w:r w:rsidRPr="66FBC8AC">
        <w:rPr>
          <w:rFonts w:asciiTheme="minorHAnsi" w:hAnsiTheme="minorHAnsi" w:cstheme="minorBidi"/>
          <w:b/>
          <w:bCs/>
          <w:sz w:val="20"/>
          <w:szCs w:val="20"/>
        </w:rPr>
        <w:t>Declarar</w:t>
      </w:r>
      <w:r w:rsidRPr="66FBC8AC">
        <w:rPr>
          <w:rFonts w:asciiTheme="minorHAnsi" w:hAnsiTheme="minorHAnsi" w:cstheme="minorBidi"/>
          <w:sz w:val="20"/>
          <w:szCs w:val="20"/>
        </w:rPr>
        <w:t xml:space="preserve"> nula a capitalização mensal de juros, com a sua substituição pela capitalização anual; </w:t>
      </w:r>
    </w:p>
    <w:p w14:paraId="12C6518C"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21873724" w14:textId="469E832D" w:rsidR="009D3864" w:rsidRDefault="66FBC8AC" w:rsidP="66FBC8AC">
      <w:pPr>
        <w:pStyle w:val="PargrafodaLista"/>
        <w:numPr>
          <w:ilvl w:val="0"/>
          <w:numId w:val="10"/>
        </w:numPr>
        <w:spacing w:after="0"/>
        <w:ind w:left="2552"/>
        <w:jc w:val="both"/>
        <w:rPr>
          <w:rFonts w:asciiTheme="minorHAnsi" w:hAnsiTheme="minorHAnsi" w:cstheme="minorBidi"/>
          <w:sz w:val="20"/>
          <w:szCs w:val="20"/>
        </w:rPr>
      </w:pPr>
      <w:r w:rsidRPr="66FBC8AC">
        <w:rPr>
          <w:rFonts w:asciiTheme="minorHAnsi" w:hAnsiTheme="minorHAnsi" w:cstheme="minorBidi"/>
          <w:sz w:val="20"/>
          <w:szCs w:val="20"/>
        </w:rPr>
        <w:t xml:space="preserve">Consequentemente, </w:t>
      </w:r>
      <w:r w:rsidRPr="66FBC8AC">
        <w:rPr>
          <w:rFonts w:asciiTheme="minorHAnsi" w:hAnsiTheme="minorHAnsi" w:cstheme="minorBidi"/>
          <w:b/>
          <w:bCs/>
          <w:sz w:val="20"/>
          <w:szCs w:val="20"/>
        </w:rPr>
        <w:t xml:space="preserve">declarar </w:t>
      </w:r>
      <w:r w:rsidRPr="66FBC8AC">
        <w:rPr>
          <w:rFonts w:asciiTheme="minorHAnsi" w:hAnsiTheme="minorHAnsi" w:cstheme="minorBidi"/>
          <w:sz w:val="20"/>
          <w:szCs w:val="20"/>
        </w:rPr>
        <w:t>que o valor escorreito do saldo devedor o contrato de cartão de crédito º ______ seja fixado em R$ XXX,XX (POR EXTENSO), determinando-se que a Demandada se abstenha de realizar a cobrança de valores excedentes, salvo em caso de mora sobre este novo valor a partir o trânsito em julgado da sentença;</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66FBC8AC" w:rsidP="66FBC8AC">
      <w:pPr>
        <w:pStyle w:val="PargrafodaLista"/>
        <w:numPr>
          <w:ilvl w:val="0"/>
          <w:numId w:val="10"/>
        </w:numPr>
        <w:spacing w:after="0"/>
        <w:ind w:left="2552"/>
        <w:jc w:val="both"/>
        <w:rPr>
          <w:rFonts w:asciiTheme="minorHAnsi" w:hAnsiTheme="minorHAnsi" w:cstheme="minorBidi"/>
          <w:sz w:val="20"/>
          <w:szCs w:val="20"/>
        </w:rPr>
      </w:pPr>
      <w:r w:rsidRPr="66FBC8AC">
        <w:rPr>
          <w:rFonts w:asciiTheme="minorHAnsi" w:hAnsiTheme="minorHAnsi" w:cstheme="minorBidi"/>
          <w:sz w:val="20"/>
          <w:szCs w:val="20"/>
        </w:rPr>
        <w:t xml:space="preserve">Ainda, </w:t>
      </w:r>
      <w:r w:rsidRPr="66FBC8AC">
        <w:rPr>
          <w:rFonts w:asciiTheme="minorHAnsi" w:hAnsiTheme="minorHAnsi" w:cstheme="minorBidi"/>
          <w:b/>
          <w:bCs/>
          <w:sz w:val="20"/>
          <w:szCs w:val="20"/>
        </w:rPr>
        <w:t>declarar afastada a mora</w:t>
      </w:r>
      <w:r w:rsidRPr="66FBC8AC">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00912EB3">
      <w:pPr>
        <w:pStyle w:val="PargrafodaLista"/>
        <w:spacing w:after="0"/>
        <w:ind w:left="2552"/>
        <w:jc w:val="both"/>
        <w:rPr>
          <w:rFonts w:asciiTheme="minorHAnsi" w:hAnsiTheme="minorHAnsi" w:cstheme="minorBidi"/>
          <w:sz w:val="20"/>
          <w:szCs w:val="20"/>
        </w:rPr>
      </w:pPr>
    </w:p>
    <w:p w14:paraId="58A24E0F" w14:textId="77777777" w:rsidR="00995349" w:rsidRPr="00BB3951" w:rsidRDefault="66FBC8AC" w:rsidP="66FBC8AC">
      <w:pPr>
        <w:pStyle w:val="PargrafodaLista"/>
        <w:numPr>
          <w:ilvl w:val="0"/>
          <w:numId w:val="10"/>
        </w:numPr>
        <w:ind w:left="2552"/>
        <w:jc w:val="both"/>
        <w:rPr>
          <w:rFonts w:asciiTheme="minorHAnsi" w:hAnsiTheme="minorHAnsi" w:cstheme="minorBidi"/>
          <w:sz w:val="20"/>
          <w:szCs w:val="20"/>
        </w:rPr>
      </w:pPr>
      <w:r w:rsidRPr="66FBC8AC">
        <w:rPr>
          <w:rFonts w:asciiTheme="minorHAnsi" w:hAnsiTheme="minorHAnsi" w:cstheme="minorBidi"/>
          <w:b/>
          <w:bCs/>
          <w:sz w:val="20"/>
          <w:szCs w:val="20"/>
        </w:rPr>
        <w:t>Condenar</w:t>
      </w:r>
      <w:r w:rsidRPr="66FBC8AC">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66FBC8AC" w:rsidP="66FBC8AC">
      <w:pPr>
        <w:pStyle w:val="PargrafodaLista"/>
        <w:numPr>
          <w:ilvl w:val="0"/>
          <w:numId w:val="10"/>
        </w:numPr>
        <w:spacing w:after="0"/>
        <w:ind w:left="2552"/>
        <w:jc w:val="both"/>
        <w:rPr>
          <w:rFonts w:asciiTheme="minorHAnsi" w:hAnsiTheme="minorHAnsi" w:cstheme="minorBidi"/>
          <w:sz w:val="20"/>
          <w:szCs w:val="20"/>
        </w:rPr>
      </w:pPr>
      <w:r w:rsidRPr="66FBC8AC">
        <w:rPr>
          <w:rFonts w:asciiTheme="minorHAnsi" w:hAnsiTheme="minorHAnsi" w:cstheme="minorBidi"/>
          <w:b/>
          <w:bCs/>
          <w:sz w:val="20"/>
          <w:szCs w:val="20"/>
        </w:rPr>
        <w:t xml:space="preserve">Condenar </w:t>
      </w:r>
      <w:r w:rsidRPr="66FBC8AC">
        <w:rPr>
          <w:rFonts w:asciiTheme="minorHAnsi" w:hAnsiTheme="minorHAnsi" w:cstheme="minorBidi"/>
          <w:sz w:val="20"/>
          <w:szCs w:val="20"/>
        </w:rPr>
        <w:t xml:space="preserve">a parte demandada ao </w:t>
      </w:r>
      <w:r w:rsidRPr="66FBC8AC">
        <w:rPr>
          <w:rFonts w:asciiTheme="minorHAnsi" w:hAnsiTheme="minorHAnsi" w:cstheme="minorBidi"/>
          <w:sz w:val="20"/>
          <w:szCs w:val="20"/>
          <w:u w:val="single"/>
        </w:rPr>
        <w:t>pagamento das despesas processuais (art. 82, §2º, CPC) e honorários advocatícios (art. 85, CPC)</w:t>
      </w:r>
      <w:r w:rsidRPr="66FBC8AC">
        <w:rPr>
          <w:rFonts w:asciiTheme="minorHAnsi" w:hAnsiTheme="minorHAnsi" w:cstheme="minorBidi"/>
          <w:sz w:val="20"/>
          <w:szCs w:val="20"/>
        </w:rPr>
        <w:t>, estes no patamar de 20% do valor da condenação ou da causa, em favor do advogado do autor;</w:t>
      </w:r>
    </w:p>
    <w:p w14:paraId="5270F594" w14:textId="64AB7FAF" w:rsidR="66FBC8AC" w:rsidRDefault="66FBC8AC" w:rsidP="66FBC8AC">
      <w:pPr>
        <w:spacing w:after="0" w:line="360" w:lineRule="auto"/>
        <w:jc w:val="both"/>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0A720A4F"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673C51">
        <w:rPr>
          <w:rFonts w:asciiTheme="minorHAnsi" w:hAnsiTheme="minorHAnsi" w:cstheme="minorHAnsi"/>
          <w:noProof/>
          <w:sz w:val="24"/>
          <w:szCs w:val="24"/>
        </w:rPr>
        <w:t>11 de maio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10009175" w:rsidR="00545BA3" w:rsidRPr="00BB3951" w:rsidRDefault="66FBC8AC" w:rsidP="66FBC8AC">
      <w:pPr>
        <w:pStyle w:val="Corpodetexto3"/>
        <w:spacing w:after="0" w:line="360" w:lineRule="auto"/>
        <w:jc w:val="both"/>
        <w:rPr>
          <w:rFonts w:asciiTheme="minorHAnsi" w:hAnsiTheme="minorHAnsi" w:cstheme="minorBidi"/>
          <w:sz w:val="22"/>
          <w:szCs w:val="22"/>
        </w:rPr>
      </w:pPr>
      <w:r w:rsidRPr="66FBC8AC">
        <w:rPr>
          <w:rFonts w:asciiTheme="minorHAnsi" w:hAnsiTheme="minorHAnsi" w:cstheme="minorBidi"/>
          <w:sz w:val="22"/>
          <w:szCs w:val="22"/>
        </w:rPr>
        <w:t>ANEXO 04 – notificação para a demandada;</w:t>
      </w:r>
    </w:p>
    <w:p w14:paraId="1CDEAC26" w14:textId="0330C278" w:rsidR="00545BA3" w:rsidRPr="00BB3951" w:rsidRDefault="66FBC8AC" w:rsidP="66FBC8AC">
      <w:pPr>
        <w:pStyle w:val="Corpodetexto3"/>
        <w:spacing w:after="0" w:line="360" w:lineRule="auto"/>
        <w:jc w:val="both"/>
        <w:rPr>
          <w:rFonts w:asciiTheme="minorHAnsi" w:hAnsiTheme="minorHAnsi" w:cstheme="minorBidi"/>
          <w:sz w:val="22"/>
          <w:szCs w:val="22"/>
        </w:rPr>
      </w:pPr>
      <w:r w:rsidRPr="66FBC8AC">
        <w:rPr>
          <w:rFonts w:asciiTheme="minorHAnsi" w:hAnsiTheme="minorHAnsi" w:cstheme="minorBidi"/>
          <w:sz w:val="22"/>
          <w:szCs w:val="22"/>
        </w:rPr>
        <w:t>ANEXO 05 – memória de cálculo;</w:t>
      </w:r>
    </w:p>
    <w:sectPr w:rsidR="00545BA3" w:rsidRPr="00BB3951" w:rsidSect="003D1FC0">
      <w:headerReference w:type="default" r:id="rId10"/>
      <w:footerReference w:type="default" r:id="rId11"/>
      <w:type w:val="continuous"/>
      <w:pgSz w:w="11907" w:h="16840" w:code="9"/>
      <w:pgMar w:top="482" w:right="1418" w:bottom="1134" w:left="1418" w:header="142"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1E1A" w14:textId="77777777" w:rsidR="00232E6E" w:rsidRDefault="00232E6E">
      <w:r>
        <w:separator/>
      </w:r>
    </w:p>
  </w:endnote>
  <w:endnote w:type="continuationSeparator" w:id="0">
    <w:p w14:paraId="40F9E3E0" w14:textId="77777777" w:rsidR="00232E6E" w:rsidRDefault="0023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B5A8" w14:textId="77777777" w:rsidR="00232E6E" w:rsidRDefault="00232E6E">
      <w:r>
        <w:separator/>
      </w:r>
    </w:p>
  </w:footnote>
  <w:footnote w:type="continuationSeparator" w:id="0">
    <w:p w14:paraId="7DA17A6B" w14:textId="77777777" w:rsidR="00232E6E" w:rsidRDefault="00232E6E">
      <w:r>
        <w:continuationSeparator/>
      </w:r>
    </w:p>
  </w:footnote>
  <w:footnote w:id="1">
    <w:p w14:paraId="211D5D1A" w14:textId="77777777" w:rsidR="001E1766" w:rsidRPr="00AC1F35" w:rsidRDefault="001E1766"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Conforme procuração anexa.</w:t>
      </w:r>
    </w:p>
  </w:footnote>
  <w:footnote w:id="2">
    <w:p w14:paraId="339EA550" w14:textId="0F83DFA2" w:rsidR="66FBC8AC" w:rsidRPr="00AC1F35" w:rsidRDefault="66FBC8AC"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color w:val="000000" w:themeColor="text1"/>
          <w:sz w:val="18"/>
          <w:szCs w:val="18"/>
        </w:rPr>
        <w:t>REsp 450.453/RS, Rel. Ministro CARLOS ALBERTO MENEZES DIREITO, Rel. p/ Acórdão Ministro ALDIR PASSARINHO JUNIOR, SEGUNDA SEÇÃO, julgado em 25/06/2003, DJ 25/02/2004, p. 93</w:t>
      </w:r>
    </w:p>
  </w:footnote>
  <w:footnote w:id="3">
    <w:p w14:paraId="371276C0" w14:textId="3C2EBF6E" w:rsidR="66FBC8AC" w:rsidRPr="00AC1F35" w:rsidRDefault="66FBC8AC" w:rsidP="0011367C">
      <w:pPr>
        <w:pStyle w:val="CORPOHOMERO"/>
        <w:spacing w:after="0" w:line="240" w:lineRule="auto"/>
        <w:ind w:firstLine="0"/>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i/>
          <w:iCs/>
          <w:color w:val="000000" w:themeColor="text1"/>
          <w:sz w:val="18"/>
          <w:szCs w:val="18"/>
        </w:rPr>
        <w:t>“Súmula 283 – As empresas administradoras de cartão de crédito são instituições financeiras e, por isso, os juros remuneratórios por elas cobrados não sofrem as limitações da Lei da Usura</w:t>
      </w:r>
      <w:r w:rsidRPr="00AC1F35">
        <w:rPr>
          <w:rFonts w:asciiTheme="minorHAnsi" w:hAnsiTheme="minorHAnsi" w:cstheme="minorHAnsi"/>
          <w:color w:val="000000" w:themeColor="text1"/>
          <w:sz w:val="18"/>
          <w:szCs w:val="18"/>
        </w:rPr>
        <w:t>.” (Segunda Seção, julgado em 28/04/2004, DJ 13/05/2004, p. 201).</w:t>
      </w:r>
    </w:p>
    <w:p w14:paraId="1DAA5691" w14:textId="52DD81A8" w:rsidR="66FBC8AC" w:rsidRPr="00AC1F35" w:rsidRDefault="66FBC8AC" w:rsidP="0011367C">
      <w:pPr>
        <w:pStyle w:val="Textodenotaderodap"/>
        <w:spacing w:after="0" w:line="240" w:lineRule="auto"/>
        <w:jc w:val="both"/>
        <w:rPr>
          <w:rFonts w:asciiTheme="minorHAnsi" w:hAnsiTheme="minorHAnsi" w:cstheme="minorHAnsi"/>
          <w:sz w:val="18"/>
          <w:szCs w:val="18"/>
        </w:rPr>
      </w:pPr>
    </w:p>
  </w:footnote>
  <w:footnote w:id="4">
    <w:p w14:paraId="14A33130" w14:textId="51C40F9E" w:rsidR="66FBC8AC" w:rsidRPr="00AC1F35" w:rsidRDefault="66FBC8AC"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color w:val="000000" w:themeColor="text1"/>
          <w:sz w:val="18"/>
          <w:szCs w:val="18"/>
        </w:rPr>
        <w:t>REsp 1084640/SP, Rel. Ministro MARCO BUZZI, SEGUNDA SEÇÃO, julgado em 23/09/2015, DJe 29/09/2015)</w:t>
      </w:r>
    </w:p>
  </w:footnote>
  <w:footnote w:id="5">
    <w:p w14:paraId="2BAAF965" w14:textId="473F599E" w:rsidR="66FBC8AC" w:rsidRPr="00AC1F35" w:rsidRDefault="66FBC8AC"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color w:val="000000" w:themeColor="text1"/>
          <w:sz w:val="18"/>
          <w:szCs w:val="18"/>
        </w:rPr>
        <w:t xml:space="preserve">REsp </w:t>
      </w:r>
      <w:hyperlink r:id="rId1">
        <w:r w:rsidRPr="00AC1F35">
          <w:rPr>
            <w:rStyle w:val="Hyperlink"/>
            <w:rFonts w:asciiTheme="minorHAnsi" w:hAnsiTheme="minorHAnsi" w:cstheme="minorHAnsi"/>
            <w:sz w:val="18"/>
            <w:szCs w:val="18"/>
          </w:rPr>
          <w:t>1359624/SP</w:t>
        </w:r>
      </w:hyperlink>
      <w:r w:rsidRPr="00AC1F35">
        <w:rPr>
          <w:rFonts w:asciiTheme="minorHAnsi" w:hAnsiTheme="minorHAnsi" w:cstheme="minorHAnsi"/>
          <w:color w:val="000000" w:themeColor="text1"/>
          <w:sz w:val="18"/>
          <w:szCs w:val="18"/>
        </w:rPr>
        <w:t>, Rel. Ministro MAURO CAMPBELL MARQUES, SEGUNDA TURMA, julgado em 10/03/2020, DJe 26/06/2020</w:t>
      </w:r>
    </w:p>
  </w:footnote>
  <w:footnote w:id="6">
    <w:p w14:paraId="3B56398B" w14:textId="5C3D8B92" w:rsidR="66FBC8AC" w:rsidRPr="00AC1F35" w:rsidRDefault="66FBC8AC"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Nesse sentido: </w:t>
      </w:r>
    </w:p>
  </w:footnote>
  <w:footnote w:id="7">
    <w:p w14:paraId="4B56E5D5" w14:textId="6C38D5C4" w:rsidR="66FBC8AC" w:rsidRPr="00AC1F35" w:rsidRDefault="66FBC8AC" w:rsidP="0011367C">
      <w:pPr>
        <w:pStyle w:val="CORPOHOMERO"/>
        <w:spacing w:after="0" w:line="240" w:lineRule="auto"/>
        <w:ind w:left="90" w:firstLine="0"/>
        <w:rPr>
          <w:rFonts w:asciiTheme="minorHAnsi" w:hAnsiTheme="minorHAnsi" w:cstheme="minorHAnsi"/>
          <w:color w:val="000000" w:themeColor="text1"/>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b/>
          <w:bCs/>
          <w:color w:val="000000" w:themeColor="text1"/>
          <w:sz w:val="18"/>
          <w:szCs w:val="18"/>
        </w:rPr>
        <w:t xml:space="preserve">Resolução nº </w:t>
      </w:r>
      <w:hyperlink r:id="rId2">
        <w:r w:rsidRPr="00AC1F35">
          <w:rPr>
            <w:rStyle w:val="Hyperlink"/>
            <w:rFonts w:asciiTheme="minorHAnsi" w:hAnsiTheme="minorHAnsi" w:cstheme="minorHAnsi"/>
            <w:b/>
            <w:bCs/>
            <w:sz w:val="18"/>
            <w:szCs w:val="18"/>
          </w:rPr>
          <w:t>1.064/1985</w:t>
        </w:r>
      </w:hyperlink>
      <w:r w:rsidRPr="00AC1F35">
        <w:rPr>
          <w:rFonts w:asciiTheme="minorHAnsi" w:hAnsiTheme="minorHAnsi" w:cstheme="minorHAnsi"/>
          <w:b/>
          <w:bCs/>
          <w:color w:val="000000" w:themeColor="text1"/>
          <w:sz w:val="18"/>
          <w:szCs w:val="18"/>
        </w:rPr>
        <w:t xml:space="preserve">: </w:t>
      </w:r>
    </w:p>
    <w:p w14:paraId="53886A9D" w14:textId="4CC73F7A" w:rsidR="66FBC8AC" w:rsidRPr="00AC1F35" w:rsidRDefault="66FBC8AC" w:rsidP="0011367C">
      <w:pPr>
        <w:pStyle w:val="CORPOHOMERO"/>
        <w:spacing w:after="0" w:line="240" w:lineRule="auto"/>
        <w:ind w:left="90" w:firstLine="0"/>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 xml:space="preserve">[...] I – I - Ressalvado o disposto no item III, </w:t>
      </w:r>
      <w:r w:rsidRPr="00AC1F35">
        <w:rPr>
          <w:rFonts w:asciiTheme="minorHAnsi" w:hAnsiTheme="minorHAnsi" w:cstheme="minorHAnsi"/>
          <w:b/>
          <w:bCs/>
          <w:color w:val="000000" w:themeColor="text1"/>
          <w:sz w:val="18"/>
          <w:szCs w:val="18"/>
        </w:rPr>
        <w:t>as operações ativas dos bancos comerciais</w:t>
      </w:r>
      <w:r w:rsidRPr="00AC1F35">
        <w:rPr>
          <w:rFonts w:asciiTheme="minorHAnsi" w:hAnsiTheme="minorHAnsi" w:cstheme="minorHAnsi"/>
          <w:color w:val="000000" w:themeColor="text1"/>
          <w:sz w:val="18"/>
          <w:szCs w:val="18"/>
        </w:rPr>
        <w:t xml:space="preserve">, de investimento e de desenvolvimento </w:t>
      </w:r>
      <w:r w:rsidRPr="00AC1F35">
        <w:rPr>
          <w:rFonts w:asciiTheme="minorHAnsi" w:hAnsiTheme="minorHAnsi" w:cstheme="minorHAnsi"/>
          <w:b/>
          <w:bCs/>
          <w:color w:val="000000" w:themeColor="text1"/>
          <w:sz w:val="18"/>
          <w:szCs w:val="18"/>
        </w:rPr>
        <w:t>serão realizadas a taxas de juros livremente pactuáveis</w:t>
      </w:r>
      <w:r w:rsidRPr="00AC1F35">
        <w:rPr>
          <w:rFonts w:asciiTheme="minorHAnsi" w:hAnsiTheme="minorHAnsi" w:cstheme="minorHAnsi"/>
          <w:color w:val="000000" w:themeColor="text1"/>
          <w:sz w:val="18"/>
          <w:szCs w:val="18"/>
        </w:rPr>
        <w:t>;</w:t>
      </w:r>
    </w:p>
    <w:p w14:paraId="091226CB" w14:textId="2394185B" w:rsidR="66FBC8AC" w:rsidRPr="00AC1F35" w:rsidRDefault="66FBC8AC" w:rsidP="0011367C">
      <w:pPr>
        <w:pStyle w:val="CORPOHOMERO"/>
        <w:spacing w:after="0" w:line="240" w:lineRule="auto"/>
        <w:ind w:left="90" w:firstLine="0"/>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 xml:space="preserve">III - As </w:t>
      </w:r>
      <w:r w:rsidRPr="00AC1F35">
        <w:rPr>
          <w:rFonts w:asciiTheme="minorHAnsi" w:hAnsiTheme="minorHAnsi" w:cstheme="minorHAnsi"/>
          <w:b/>
          <w:bCs/>
          <w:color w:val="000000" w:themeColor="text1"/>
          <w:sz w:val="18"/>
          <w:szCs w:val="18"/>
        </w:rPr>
        <w:t>operações ativas incentivadas</w:t>
      </w:r>
      <w:r w:rsidRPr="00AC1F35">
        <w:rPr>
          <w:rFonts w:asciiTheme="minorHAnsi" w:hAnsiTheme="minorHAnsi" w:cstheme="minorHAnsi"/>
          <w:color w:val="000000" w:themeColor="text1"/>
          <w:sz w:val="18"/>
          <w:szCs w:val="18"/>
        </w:rPr>
        <w:t xml:space="preserve"> continuam </w:t>
      </w:r>
      <w:r w:rsidRPr="00AC1F35">
        <w:rPr>
          <w:rFonts w:asciiTheme="minorHAnsi" w:hAnsiTheme="minorHAnsi" w:cstheme="minorHAnsi"/>
          <w:color w:val="000000" w:themeColor="text1"/>
          <w:sz w:val="18"/>
          <w:szCs w:val="18"/>
          <w:u w:val="single"/>
        </w:rPr>
        <w:t>regendo-se pela regulamentação específica</w:t>
      </w:r>
      <w:r w:rsidRPr="00AC1F35">
        <w:rPr>
          <w:rFonts w:asciiTheme="minorHAnsi" w:hAnsiTheme="minorHAnsi" w:cstheme="minorHAnsi"/>
          <w:color w:val="000000" w:themeColor="text1"/>
          <w:sz w:val="18"/>
          <w:szCs w:val="18"/>
        </w:rPr>
        <w:t>, permanecendo vedadas quaisquer práticas que impliquem ultrapassagem dos respectivos limites máximos de remuneração, as quais poderão ser consideradas faltas graves pelo Banco Central para os efeitos do art. 44 da Lei nº 4.595, de 31.12.64. (g/n)</w:t>
      </w:r>
    </w:p>
    <w:p w14:paraId="6F45C846" w14:textId="1B09BDD9" w:rsidR="66FBC8AC" w:rsidRPr="00AC1F35" w:rsidRDefault="66FBC8AC" w:rsidP="0011367C">
      <w:pPr>
        <w:pStyle w:val="Textodenotaderodap"/>
        <w:spacing w:after="0" w:line="240" w:lineRule="auto"/>
        <w:jc w:val="both"/>
        <w:rPr>
          <w:rFonts w:asciiTheme="minorHAnsi" w:hAnsiTheme="minorHAnsi" w:cstheme="minorHAnsi"/>
          <w:sz w:val="18"/>
          <w:szCs w:val="18"/>
        </w:rPr>
      </w:pPr>
    </w:p>
  </w:footnote>
  <w:footnote w:id="8">
    <w:p w14:paraId="7A8E5351" w14:textId="2EF45419" w:rsidR="66FBC8AC" w:rsidRPr="00AC1F35" w:rsidRDefault="66FBC8AC"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[...]2. A </w:t>
      </w:r>
      <w:r w:rsidRPr="00AC1F35">
        <w:rPr>
          <w:rFonts w:asciiTheme="minorHAnsi" w:hAnsiTheme="minorHAnsi" w:cstheme="minorHAnsi"/>
          <w:b/>
          <w:bCs/>
          <w:sz w:val="18"/>
          <w:szCs w:val="18"/>
        </w:rPr>
        <w:t>cláusula-mandato inserida nos contratos de cartão de crédito possui três acepções</w:t>
      </w:r>
      <w:r w:rsidRPr="00AC1F35">
        <w:rPr>
          <w:rFonts w:asciiTheme="minorHAnsi" w:hAnsiTheme="minorHAnsi" w:cstheme="minorHAnsi"/>
          <w:sz w:val="18"/>
          <w:szCs w:val="18"/>
        </w:rPr>
        <w:t xml:space="preserve"> distintas, que embora decorram da relação de representação existente entre os interessados, ensejam efeitos jurídicos e materiais totalmente diversos. [...] </w:t>
      </w:r>
      <w:r w:rsidRPr="00AC1F35">
        <w:rPr>
          <w:rFonts w:asciiTheme="minorHAnsi" w:hAnsiTheme="minorHAnsi" w:cstheme="minorHAnsi"/>
          <w:b/>
          <w:bCs/>
          <w:sz w:val="18"/>
          <w:szCs w:val="18"/>
        </w:rPr>
        <w:t>A segunda, considerada válida e inerente aos contratos de cartão de crédito mantidos por operadoras de cartões private label refere-se à autorização dada pelo mandante (cliente/consumidor) ao mandatário (administradora de cartão de crédito), para que este obtenha recursos no mercado financeiro para saldar eventuais dívidas e</w:t>
      </w:r>
      <w:r w:rsidR="00933DF7" w:rsidRPr="00AC1F35">
        <w:rPr>
          <w:rFonts w:asciiTheme="minorHAnsi" w:hAnsiTheme="minorHAnsi" w:cstheme="minorHAnsi"/>
          <w:b/>
          <w:bCs/>
          <w:sz w:val="18"/>
          <w:szCs w:val="18"/>
        </w:rPr>
        <w:t xml:space="preserve"> </w:t>
      </w:r>
      <w:r w:rsidRPr="00AC1F35">
        <w:rPr>
          <w:rFonts w:asciiTheme="minorHAnsi" w:hAnsiTheme="minorHAnsi" w:cstheme="minorHAnsi"/>
          <w:b/>
          <w:bCs/>
          <w:sz w:val="18"/>
          <w:szCs w:val="18"/>
        </w:rPr>
        <w:t>financiamentos daquele.</w:t>
      </w:r>
      <w:r w:rsidRPr="00AC1F35">
        <w:rPr>
          <w:rFonts w:asciiTheme="minorHAnsi" w:hAnsiTheme="minorHAnsi" w:cstheme="minorHAnsi"/>
          <w:sz w:val="18"/>
          <w:szCs w:val="18"/>
        </w:rPr>
        <w:t xml:space="preserve"> [...] (REsp 1084640/SP, Rel. Ministro MARCO BUZZI, SEGUNDA SEÇÃO, julgado em 23/09/2015, DJe 29/09/2015)</w:t>
      </w:r>
    </w:p>
  </w:footnote>
  <w:footnote w:id="9">
    <w:p w14:paraId="1020ACDB" w14:textId="6428694C"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color w:val="000000" w:themeColor="text1"/>
          <w:sz w:val="18"/>
          <w:szCs w:val="18"/>
        </w:rPr>
        <w:t>RECURSO ESPECIAL. CIVIL. COMPRA E VENDA A PRAZO. EMPRESA DO COMÉRCIO VAREJISTA. INSTITUIÇÃO NÃO FINANCEIRA. ART. 2º DA LEI 6.463/77. EQUIPARAÇÃO. INVIABILIDADE. JUROS REMUNERATÓRIOS/COMPENSATÓRIOS. COBRANÇA. LIMITES. ARTS. 406 C/C 591 DO CC/02. SUBMISSÃO. DESPROVIMENTO.</w:t>
      </w:r>
    </w:p>
    <w:p w14:paraId="1B063A90" w14:textId="212A64DB"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1. Cuida-se de ação revisional de cláusulas contratuais de pacto firmado para a aquisição de mercadorias com pagamento em prestações, cujas parcelas contariam com a incidência de juros remuneratórios superiores a 1% ao mês.</w:t>
      </w:r>
    </w:p>
    <w:p w14:paraId="2E73AD2E" w14:textId="7148BA15"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2. Recurso especial interposto em: 04/08/2017; conclusão ao Gabinete em: 02/02/2018; aplicação do CPC/15.</w:t>
      </w:r>
    </w:p>
    <w:p w14:paraId="500DC6DF" w14:textId="1A8A32D3"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3. O propósito recursal consiste em determinar se é possível à instituição não financeira - dedicada ao comércio varejista em geral - estipular, em suas vendas a crédito, pagas em prestações, juros remuneratórios superiores a 1% ao mês, ou a 12% ao ano, de acordo com as taxas médias de mercado.</w:t>
      </w:r>
    </w:p>
    <w:p w14:paraId="2353D9DA" w14:textId="30A871EF"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4. A cobrança de juros remuneratórios superiores aos limites estabelecidos pelo Código Civil de 2002 é excepcional e deve ser interpretada restritivamente.</w:t>
      </w:r>
    </w:p>
    <w:p w14:paraId="19F4AC5C" w14:textId="3FA65F85"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5. Apenas às instituições financeiras, submetidas à regulação, controle e fiscalização do Conselho Monetário Nacional, é permitido cobrar juros acima do teto legal. Súmula 596/STF e precedente da 2ª Seção.</w:t>
      </w:r>
    </w:p>
    <w:p w14:paraId="636219E6" w14:textId="18A579F0"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6. A previsão do art. 2º da Lei 6.463/77 faz referência a um sistema obsoleto, em que a aquisição de mercadorias a prestação dependia da atuação do varejista como instituição financeira e no qual o controle dos juros estava sujeito ao escrutínio dos próprios consumidores e à regulação e fiscalização do Ministério da Fazenda.</w:t>
      </w:r>
    </w:p>
    <w:p w14:paraId="1DE116EE" w14:textId="5B56FEA7"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8. Após a Lei 4.595/64, o art. 2º da Lei 6.463/77 passou a não mais encontrar suporte fático apto a sua incidência, sendo, pois, ineficaz, não podendo ser interpretado extensivamente para permitir a equiparação dos varejistas a instituições financeiras e não autorizando a cobrança de encargos cuja exigibilidade a elas é restrita.</w:t>
      </w:r>
    </w:p>
    <w:p w14:paraId="3CE9F0D9" w14:textId="06FA4A98"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9. Na hipótese concreta, o contrato é regido pelas disposições do Código Civil e não pelos regulamentos do CMN e do BACEN, haja vista a ora recorrente não ser uma instituição financeira. Assim, os juros remuneratórios devem observar os limites do art. 406 c/c art. 591 do CC/02.</w:t>
      </w:r>
    </w:p>
    <w:p w14:paraId="05B4F8AA" w14:textId="0CC87268"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10. Recurso especial não provido.</w:t>
      </w:r>
    </w:p>
    <w:p w14:paraId="1A3BC920" w14:textId="5ED3C938" w:rsidR="66FBC8AC" w:rsidRPr="00AC1F35" w:rsidRDefault="66FBC8AC" w:rsidP="0011367C">
      <w:pPr>
        <w:pStyle w:val="Textodenotaderodap"/>
        <w:spacing w:after="0" w:line="240" w:lineRule="auto"/>
        <w:jc w:val="both"/>
        <w:rPr>
          <w:rFonts w:asciiTheme="minorHAnsi" w:hAnsiTheme="minorHAnsi" w:cstheme="minorHAnsi"/>
          <w:color w:val="000000" w:themeColor="text1"/>
          <w:sz w:val="18"/>
          <w:szCs w:val="18"/>
        </w:rPr>
      </w:pPr>
      <w:r w:rsidRPr="00AC1F35">
        <w:rPr>
          <w:rFonts w:asciiTheme="minorHAnsi" w:hAnsiTheme="minorHAnsi" w:cstheme="minorHAnsi"/>
          <w:color w:val="000000" w:themeColor="text1"/>
          <w:sz w:val="18"/>
          <w:szCs w:val="18"/>
        </w:rPr>
        <w:t>(REsp 1720656/MG, Rel. Ministra NANCY ANDRIGHI, TERCEIRA TURMA, julgado em 28/04/2020, DJe 07/05/2020)</w:t>
      </w:r>
    </w:p>
    <w:p w14:paraId="7D8112BA" w14:textId="3D77C06D" w:rsidR="66FBC8AC" w:rsidRPr="00AC1F35" w:rsidRDefault="66FBC8AC" w:rsidP="0011367C">
      <w:pPr>
        <w:pStyle w:val="Textodenotaderodap"/>
        <w:spacing w:after="0" w:line="240" w:lineRule="auto"/>
        <w:jc w:val="both"/>
        <w:rPr>
          <w:rFonts w:asciiTheme="minorHAnsi" w:hAnsiTheme="minorHAnsi" w:cstheme="minorHAnsi"/>
          <w:sz w:val="18"/>
          <w:szCs w:val="18"/>
        </w:rPr>
      </w:pPr>
    </w:p>
  </w:footnote>
  <w:footnote w:id="10">
    <w:p w14:paraId="17AFA8D6" w14:textId="09D44BA3" w:rsidR="66FBC8AC" w:rsidRPr="00AC1F35" w:rsidRDefault="66FBC8AC" w:rsidP="0011367C">
      <w:pPr>
        <w:pStyle w:val="Ttulo4"/>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w:t>
      </w:r>
      <w:r w:rsidRPr="00AC1F35">
        <w:rPr>
          <w:rFonts w:asciiTheme="minorHAnsi" w:hAnsiTheme="minorHAnsi" w:cstheme="minorHAnsi"/>
          <w:color w:val="000000" w:themeColor="text1"/>
          <w:sz w:val="18"/>
          <w:szCs w:val="18"/>
        </w:rPr>
        <w:t>Enunciado 121:É vedada a capitalização de juros, ainda que expressamente convencionada. (Sessão Plenária de 13/12/1963</w:t>
      </w:r>
    </w:p>
    <w:p w14:paraId="556173D5" w14:textId="5D531B43" w:rsidR="66FBC8AC" w:rsidRPr="00AC1F35" w:rsidRDefault="66FBC8AC" w:rsidP="0011367C">
      <w:pPr>
        <w:pStyle w:val="Textodenotaderodap"/>
        <w:spacing w:after="0" w:line="240" w:lineRule="auto"/>
        <w:jc w:val="both"/>
        <w:rPr>
          <w:rFonts w:asciiTheme="minorHAnsi" w:hAnsiTheme="minorHAnsi" w:cstheme="minorHAnsi"/>
          <w:sz w:val="18"/>
          <w:szCs w:val="18"/>
        </w:rPr>
      </w:pPr>
    </w:p>
  </w:footnote>
  <w:footnote w:id="11">
    <w:p w14:paraId="6AB4B739" w14:textId="39769471" w:rsidR="66FBC8AC" w:rsidRPr="00AC1F35" w:rsidRDefault="66FBC8AC" w:rsidP="0011367C">
      <w:pPr>
        <w:pStyle w:val="CORPOHOMERO"/>
        <w:spacing w:after="0" w:line="240" w:lineRule="auto"/>
        <w:ind w:firstLine="0"/>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Posição que era adotada pelo STJ, mas que vem aos poucos sendo mitigada: </w:t>
      </w:r>
      <w:r w:rsidRPr="00AC1F35">
        <w:rPr>
          <w:rFonts w:asciiTheme="minorHAnsi" w:hAnsiTheme="minorHAnsi" w:cstheme="minorHAnsi"/>
          <w:b/>
          <w:bCs/>
          <w:color w:val="000000" w:themeColor="text1"/>
          <w:sz w:val="18"/>
          <w:szCs w:val="18"/>
        </w:rPr>
        <w:t>Tema repetitivo nº 99:</w:t>
      </w:r>
      <w:r w:rsidRPr="00AC1F35">
        <w:rPr>
          <w:rFonts w:asciiTheme="minorHAnsi" w:hAnsiTheme="minorHAnsi" w:cstheme="minorHAnsi"/>
          <w:color w:val="000000" w:themeColor="text1"/>
          <w:sz w:val="18"/>
          <w:szCs w:val="18"/>
        </w:rPr>
        <w:t xml:space="preserve"> [...]a, a taxa legal, antes prevista no art. 1062 do Código Civil de 1916 e agora no art. 406 do Código Civil de 2002. (...) "atualmente, a taxa dos juros moratórios a que se refere o referido dispositivo [art. 406 do CC/2002] é a taxa referencial do Sistema Especial de Liquidação e Custódia - SELIC", que "não pode ser cumulada com a aplicação de outros índices de atualização monetária.</w:t>
      </w:r>
    </w:p>
    <w:p w14:paraId="2CA3971C" w14:textId="6F8BC9AB" w:rsidR="66FBC8AC" w:rsidRPr="00AC1F35" w:rsidRDefault="66FBC8AC" w:rsidP="0011367C">
      <w:pPr>
        <w:pStyle w:val="Textodenotaderodap"/>
        <w:spacing w:after="0" w:line="240" w:lineRule="auto"/>
        <w:jc w:val="both"/>
        <w:rPr>
          <w:rFonts w:asciiTheme="minorHAnsi" w:hAnsiTheme="minorHAnsi" w:cstheme="minorHAnsi"/>
          <w:sz w:val="18"/>
          <w:szCs w:val="18"/>
        </w:rPr>
      </w:pPr>
    </w:p>
  </w:footnote>
  <w:footnote w:id="12">
    <w:p w14:paraId="79418677" w14:textId="77777777" w:rsidR="00D221E9" w:rsidRPr="00AC1F35" w:rsidRDefault="00D221E9" w:rsidP="0011367C">
      <w:pPr>
        <w:tabs>
          <w:tab w:val="left" w:pos="2160"/>
        </w:tabs>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AC1F35">
        <w:rPr>
          <w:rFonts w:asciiTheme="minorHAnsi" w:hAnsiTheme="minorHAnsi" w:cstheme="minorHAnsi"/>
          <w:b/>
          <w:bCs/>
          <w:sz w:val="18"/>
          <w:szCs w:val="18"/>
        </w:rPr>
        <w:t>CONFIGURAÇÃO DA MORA</w:t>
      </w:r>
      <w:r w:rsidRPr="00AC1F35">
        <w:rPr>
          <w:rFonts w:asciiTheme="minorHAnsi" w:hAnsiTheme="minorHAnsi" w:cstheme="minorHAnsi"/>
          <w:sz w:val="18"/>
          <w:szCs w:val="18"/>
        </w:rPr>
        <w:t xml:space="preserve"> a) O reconhecimento da </w:t>
      </w:r>
      <w:r w:rsidRPr="00AC1F35">
        <w:rPr>
          <w:rFonts w:asciiTheme="minorHAnsi" w:hAnsiTheme="minorHAnsi" w:cstheme="minorHAnsi"/>
          <w:sz w:val="18"/>
          <w:szCs w:val="18"/>
          <w:u w:val="single"/>
        </w:rPr>
        <w:t>abusividade nos encargos exigidos no período da normalidade</w:t>
      </w:r>
      <w:r w:rsidRPr="00AC1F35">
        <w:rPr>
          <w:rFonts w:asciiTheme="minorHAnsi" w:hAnsiTheme="minorHAnsi" w:cstheme="minorHAnsi"/>
          <w:sz w:val="18"/>
          <w:szCs w:val="18"/>
        </w:rPr>
        <w:t xml:space="preserve"> contratual (juros remuneratórios e capitalização) </w:t>
      </w:r>
      <w:r w:rsidRPr="00AC1F35">
        <w:rPr>
          <w:rFonts w:asciiTheme="minorHAnsi" w:hAnsiTheme="minorHAnsi" w:cstheme="minorHAnsi"/>
          <w:b/>
          <w:bCs/>
          <w:sz w:val="18"/>
          <w:szCs w:val="18"/>
        </w:rPr>
        <w:t>descaracteriza a mora</w:t>
      </w:r>
      <w:r w:rsidRPr="00AC1F35">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1D06EC0" w14:textId="77777777" w:rsidR="00D221E9" w:rsidRPr="00AC1F35" w:rsidRDefault="00D221E9" w:rsidP="0011367C">
      <w:pPr>
        <w:pStyle w:val="Textodenotaderodap"/>
        <w:spacing w:after="0" w:line="240" w:lineRule="auto"/>
        <w:jc w:val="both"/>
        <w:rPr>
          <w:rFonts w:asciiTheme="minorHAnsi" w:hAnsiTheme="minorHAnsi" w:cstheme="minorHAnsi"/>
          <w:sz w:val="18"/>
          <w:szCs w:val="18"/>
        </w:rPr>
      </w:pPr>
    </w:p>
  </w:footnote>
  <w:footnote w:id="13">
    <w:p w14:paraId="3A1CFE8D" w14:textId="77777777" w:rsidR="009709EB" w:rsidRPr="00AC1F35" w:rsidRDefault="009709EB"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STJ [...]13. </w:t>
      </w:r>
      <w:r w:rsidRPr="00AC1F35">
        <w:rPr>
          <w:rFonts w:asciiTheme="minorHAnsi" w:hAnsiTheme="minorHAnsi" w:cstheme="minorHAnsi"/>
          <w:b/>
          <w:bCs/>
          <w:sz w:val="18"/>
          <w:szCs w:val="18"/>
        </w:rPr>
        <w:t>Fixação das seguintes teses</w:t>
      </w:r>
      <w:r w:rsidRPr="00AC1F35">
        <w:rPr>
          <w:rFonts w:asciiTheme="minorHAnsi" w:hAnsiTheme="minorHAnsi" w:cstheme="minorHAnsi"/>
          <w:sz w:val="18"/>
          <w:szCs w:val="18"/>
        </w:rPr>
        <w:t xml:space="preserve">. Primeira tese: A </w:t>
      </w:r>
      <w:r w:rsidRPr="00AC1F35">
        <w:rPr>
          <w:rFonts w:asciiTheme="minorHAnsi" w:hAnsiTheme="minorHAnsi" w:cstheme="minorHAnsi"/>
          <w:sz w:val="18"/>
          <w:szCs w:val="18"/>
          <w:u w:val="single"/>
        </w:rPr>
        <w:t>restituição em dobro do indébito</w:t>
      </w:r>
      <w:r w:rsidRPr="00AC1F35">
        <w:rPr>
          <w:rFonts w:asciiTheme="minorHAnsi" w:hAnsiTheme="minorHAnsi" w:cstheme="minorHAnsi"/>
          <w:sz w:val="18"/>
          <w:szCs w:val="18"/>
        </w:rPr>
        <w:t xml:space="preserve"> (parágrafo único do artigo 42 do CDC) </w:t>
      </w:r>
      <w:r w:rsidRPr="00AC1F35">
        <w:rPr>
          <w:rFonts w:asciiTheme="minorHAnsi" w:hAnsiTheme="minorHAnsi" w:cstheme="minorHAnsi"/>
          <w:sz w:val="18"/>
          <w:szCs w:val="18"/>
          <w:u w:val="single"/>
        </w:rPr>
        <w:t>independe da natureza do elemento volitivo do fornecedor</w:t>
      </w:r>
      <w:r w:rsidRPr="00AC1F35">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4">
    <w:p w14:paraId="7EF33666" w14:textId="201B649A" w:rsidR="00014E9D" w:rsidRPr="00AC1F35" w:rsidRDefault="00014E9D" w:rsidP="0011367C">
      <w:pPr>
        <w:pStyle w:val="Textodenotaderodap"/>
        <w:spacing w:after="0" w:line="240" w:lineRule="auto"/>
        <w:jc w:val="both"/>
        <w:rPr>
          <w:rFonts w:asciiTheme="minorHAnsi" w:hAnsiTheme="minorHAnsi" w:cstheme="minorHAnsi"/>
          <w:sz w:val="18"/>
          <w:szCs w:val="18"/>
        </w:rPr>
      </w:pPr>
      <w:r w:rsidRPr="00AC1F35">
        <w:rPr>
          <w:rStyle w:val="Refdenotaderodap"/>
          <w:rFonts w:asciiTheme="minorHAnsi" w:hAnsiTheme="minorHAnsi" w:cstheme="minorHAnsi"/>
          <w:sz w:val="18"/>
          <w:szCs w:val="18"/>
        </w:rPr>
        <w:footnoteRef/>
      </w:r>
      <w:r w:rsidRPr="00AC1F35">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AC1F35">
        <w:rPr>
          <w:rFonts w:asciiTheme="minorHAnsi" w:hAnsiTheme="minorHAnsi" w:cstheme="minorHAnsi"/>
          <w:sz w:val="18"/>
          <w:szCs w:val="18"/>
        </w:rPr>
        <w:t xml:space="preserve">Seção, </w:t>
      </w:r>
      <w:r w:rsidR="00D86795" w:rsidRPr="00AC1F35">
        <w:rPr>
          <w:rFonts w:asciiTheme="minorHAnsi" w:hAnsiTheme="minorHAnsi" w:cstheme="minorHAnsi"/>
          <w:sz w:val="18"/>
          <w:szCs w:val="18"/>
        </w:rPr>
        <w:t>DJe 21.6.2012</w:t>
      </w:r>
      <w:r w:rsidRPr="00AC1F35">
        <w:rPr>
          <w:rFonts w:asciiTheme="minorHAnsi" w:hAnsiTheme="minorHAnsi" w:cstheme="minorHAnsi"/>
          <w:sz w:val="18"/>
          <w:szCs w:val="18"/>
        </w:rPr>
        <w:t>). ... (REsp 1806813/SP, Rel. Ministro HERMAN BENJAMIN, SEGUNDA TURMA, julgado em 15/08/2019, DJe 10/09/2019)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29" w15:restartNumberingAfterBreak="0">
    <w:nsid w:val="79A20D51"/>
    <w:multiLevelType w:val="multilevel"/>
    <w:tmpl w:val="39A283EA"/>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2111341">
    <w:abstractNumId w:val="29"/>
  </w:num>
  <w:num w:numId="2" w16cid:durableId="2053338881">
    <w:abstractNumId w:val="28"/>
  </w:num>
  <w:num w:numId="3" w16cid:durableId="1363818428">
    <w:abstractNumId w:val="12"/>
  </w:num>
  <w:num w:numId="4" w16cid:durableId="1604605452">
    <w:abstractNumId w:val="22"/>
  </w:num>
  <w:num w:numId="5" w16cid:durableId="1999338216">
    <w:abstractNumId w:val="8"/>
  </w:num>
  <w:num w:numId="6" w16cid:durableId="130099114">
    <w:abstractNumId w:val="23"/>
  </w:num>
  <w:num w:numId="7" w16cid:durableId="827130964">
    <w:abstractNumId w:val="26"/>
  </w:num>
  <w:num w:numId="8" w16cid:durableId="258178879">
    <w:abstractNumId w:val="10"/>
  </w:num>
  <w:num w:numId="9" w16cid:durableId="364906680">
    <w:abstractNumId w:val="0"/>
  </w:num>
  <w:num w:numId="10" w16cid:durableId="1517500379">
    <w:abstractNumId w:val="4"/>
  </w:num>
  <w:num w:numId="11" w16cid:durableId="1974173170">
    <w:abstractNumId w:val="19"/>
  </w:num>
  <w:num w:numId="12" w16cid:durableId="948582920">
    <w:abstractNumId w:val="7"/>
  </w:num>
  <w:num w:numId="13" w16cid:durableId="376202658">
    <w:abstractNumId w:val="11"/>
  </w:num>
  <w:num w:numId="14" w16cid:durableId="309556487">
    <w:abstractNumId w:val="7"/>
    <w:lvlOverride w:ilvl="0">
      <w:startOverride w:val="1"/>
    </w:lvlOverride>
  </w:num>
  <w:num w:numId="15" w16cid:durableId="285280604">
    <w:abstractNumId w:val="11"/>
    <w:lvlOverride w:ilvl="0">
      <w:startOverride w:val="1"/>
    </w:lvlOverride>
  </w:num>
  <w:num w:numId="16" w16cid:durableId="140656244">
    <w:abstractNumId w:val="13"/>
  </w:num>
  <w:num w:numId="17" w16cid:durableId="690448461">
    <w:abstractNumId w:val="2"/>
  </w:num>
  <w:num w:numId="18" w16cid:durableId="378482940">
    <w:abstractNumId w:val="2"/>
  </w:num>
  <w:num w:numId="19" w16cid:durableId="655452160">
    <w:abstractNumId w:val="2"/>
  </w:num>
  <w:num w:numId="20" w16cid:durableId="1231038658">
    <w:abstractNumId w:val="2"/>
  </w:num>
  <w:num w:numId="21" w16cid:durableId="1902672814">
    <w:abstractNumId w:val="2"/>
  </w:num>
  <w:num w:numId="22" w16cid:durableId="534539506">
    <w:abstractNumId w:val="2"/>
  </w:num>
  <w:num w:numId="23" w16cid:durableId="1381245884">
    <w:abstractNumId w:val="2"/>
  </w:num>
  <w:num w:numId="24" w16cid:durableId="27070117">
    <w:abstractNumId w:val="2"/>
  </w:num>
  <w:num w:numId="25" w16cid:durableId="1795562770">
    <w:abstractNumId w:val="2"/>
  </w:num>
  <w:num w:numId="26" w16cid:durableId="313531861">
    <w:abstractNumId w:val="21"/>
  </w:num>
  <w:num w:numId="27" w16cid:durableId="1718159134">
    <w:abstractNumId w:val="25"/>
  </w:num>
  <w:num w:numId="28" w16cid:durableId="488524824">
    <w:abstractNumId w:val="20"/>
  </w:num>
  <w:num w:numId="29" w16cid:durableId="610672948">
    <w:abstractNumId w:val="17"/>
  </w:num>
  <w:num w:numId="30" w16cid:durableId="1604191462">
    <w:abstractNumId w:val="16"/>
  </w:num>
  <w:num w:numId="31" w16cid:durableId="1775439431">
    <w:abstractNumId w:val="24"/>
  </w:num>
  <w:num w:numId="32" w16cid:durableId="1930776469">
    <w:abstractNumId w:val="14"/>
  </w:num>
  <w:num w:numId="33" w16cid:durableId="1264072645">
    <w:abstractNumId w:val="3"/>
  </w:num>
  <w:num w:numId="34" w16cid:durableId="1532035947">
    <w:abstractNumId w:val="15"/>
  </w:num>
  <w:num w:numId="35" w16cid:durableId="117188452">
    <w:abstractNumId w:val="27"/>
  </w:num>
  <w:num w:numId="36" w16cid:durableId="1294599839">
    <w:abstractNumId w:val="5"/>
  </w:num>
  <w:num w:numId="37" w16cid:durableId="1307080127">
    <w:abstractNumId w:val="7"/>
    <w:lvlOverride w:ilvl="0">
      <w:startOverride w:val="1"/>
    </w:lvlOverride>
  </w:num>
  <w:num w:numId="38" w16cid:durableId="743338984">
    <w:abstractNumId w:val="1"/>
  </w:num>
  <w:num w:numId="39" w16cid:durableId="952708586">
    <w:abstractNumId w:val="18"/>
  </w:num>
  <w:num w:numId="40" w16cid:durableId="403064195">
    <w:abstractNumId w:val="9"/>
  </w:num>
  <w:num w:numId="41" w16cid:durableId="151742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7FAC"/>
    <w:rsid w:val="00020335"/>
    <w:rsid w:val="0002140F"/>
    <w:rsid w:val="0002298F"/>
    <w:rsid w:val="000234D1"/>
    <w:rsid w:val="000259CD"/>
    <w:rsid w:val="00025FA4"/>
    <w:rsid w:val="00030A05"/>
    <w:rsid w:val="00030EF1"/>
    <w:rsid w:val="000310F0"/>
    <w:rsid w:val="00032440"/>
    <w:rsid w:val="00032D7C"/>
    <w:rsid w:val="00034C21"/>
    <w:rsid w:val="0003505C"/>
    <w:rsid w:val="000353A3"/>
    <w:rsid w:val="00035A0E"/>
    <w:rsid w:val="00035AAD"/>
    <w:rsid w:val="00036554"/>
    <w:rsid w:val="00036F63"/>
    <w:rsid w:val="00036FC2"/>
    <w:rsid w:val="00037039"/>
    <w:rsid w:val="000376CA"/>
    <w:rsid w:val="00041F39"/>
    <w:rsid w:val="0004374D"/>
    <w:rsid w:val="0004379F"/>
    <w:rsid w:val="00043A3C"/>
    <w:rsid w:val="00045FE9"/>
    <w:rsid w:val="00046030"/>
    <w:rsid w:val="00046078"/>
    <w:rsid w:val="0004656A"/>
    <w:rsid w:val="000475EB"/>
    <w:rsid w:val="000501B3"/>
    <w:rsid w:val="00050227"/>
    <w:rsid w:val="000502F9"/>
    <w:rsid w:val="00050A85"/>
    <w:rsid w:val="0005170A"/>
    <w:rsid w:val="000524FD"/>
    <w:rsid w:val="000526A7"/>
    <w:rsid w:val="0005324F"/>
    <w:rsid w:val="00054659"/>
    <w:rsid w:val="000546A8"/>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8A1"/>
    <w:rsid w:val="00090A44"/>
    <w:rsid w:val="00090AAC"/>
    <w:rsid w:val="00090DBB"/>
    <w:rsid w:val="00091F1E"/>
    <w:rsid w:val="000928AC"/>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D7EA7"/>
    <w:rsid w:val="000E05E4"/>
    <w:rsid w:val="000E2ADB"/>
    <w:rsid w:val="000E2B51"/>
    <w:rsid w:val="000E4588"/>
    <w:rsid w:val="000E4CE9"/>
    <w:rsid w:val="000E5913"/>
    <w:rsid w:val="000E6910"/>
    <w:rsid w:val="000E6F71"/>
    <w:rsid w:val="000E75FC"/>
    <w:rsid w:val="000E7E2D"/>
    <w:rsid w:val="000F00E3"/>
    <w:rsid w:val="000F0626"/>
    <w:rsid w:val="000F17F5"/>
    <w:rsid w:val="000F189D"/>
    <w:rsid w:val="000F2B03"/>
    <w:rsid w:val="000F3D81"/>
    <w:rsid w:val="000F5A50"/>
    <w:rsid w:val="000F6F45"/>
    <w:rsid w:val="00100EA9"/>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10335"/>
    <w:rsid w:val="001110BB"/>
    <w:rsid w:val="0011209D"/>
    <w:rsid w:val="001132D9"/>
    <w:rsid w:val="00113615"/>
    <w:rsid w:val="0011367C"/>
    <w:rsid w:val="0011437A"/>
    <w:rsid w:val="00116505"/>
    <w:rsid w:val="0011704C"/>
    <w:rsid w:val="001179B5"/>
    <w:rsid w:val="001179D5"/>
    <w:rsid w:val="001219F6"/>
    <w:rsid w:val="00122253"/>
    <w:rsid w:val="0012236E"/>
    <w:rsid w:val="0012449C"/>
    <w:rsid w:val="00124CCD"/>
    <w:rsid w:val="00125ADA"/>
    <w:rsid w:val="00125D35"/>
    <w:rsid w:val="00130DCC"/>
    <w:rsid w:val="0013399D"/>
    <w:rsid w:val="00133F72"/>
    <w:rsid w:val="001343AB"/>
    <w:rsid w:val="0013568E"/>
    <w:rsid w:val="001357CD"/>
    <w:rsid w:val="00136B8C"/>
    <w:rsid w:val="00140726"/>
    <w:rsid w:val="00140C12"/>
    <w:rsid w:val="0014158B"/>
    <w:rsid w:val="00141BD9"/>
    <w:rsid w:val="00143735"/>
    <w:rsid w:val="0014513E"/>
    <w:rsid w:val="00146AD4"/>
    <w:rsid w:val="00146D49"/>
    <w:rsid w:val="001477AE"/>
    <w:rsid w:val="00147964"/>
    <w:rsid w:val="00147B8F"/>
    <w:rsid w:val="00147F74"/>
    <w:rsid w:val="001500DC"/>
    <w:rsid w:val="00150663"/>
    <w:rsid w:val="001509C5"/>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6DD"/>
    <w:rsid w:val="00163EB9"/>
    <w:rsid w:val="00164607"/>
    <w:rsid w:val="001668F4"/>
    <w:rsid w:val="00167199"/>
    <w:rsid w:val="00167B9B"/>
    <w:rsid w:val="001704EC"/>
    <w:rsid w:val="00170677"/>
    <w:rsid w:val="001707C7"/>
    <w:rsid w:val="001735DF"/>
    <w:rsid w:val="001737E8"/>
    <w:rsid w:val="00174411"/>
    <w:rsid w:val="001750B5"/>
    <w:rsid w:val="001768D8"/>
    <w:rsid w:val="001771F1"/>
    <w:rsid w:val="001776E4"/>
    <w:rsid w:val="00177FB6"/>
    <w:rsid w:val="00180628"/>
    <w:rsid w:val="00181481"/>
    <w:rsid w:val="00182EF4"/>
    <w:rsid w:val="00183CCA"/>
    <w:rsid w:val="001846A7"/>
    <w:rsid w:val="00184CD0"/>
    <w:rsid w:val="00185810"/>
    <w:rsid w:val="001859F0"/>
    <w:rsid w:val="00185B2C"/>
    <w:rsid w:val="00186142"/>
    <w:rsid w:val="001869E4"/>
    <w:rsid w:val="00190BDE"/>
    <w:rsid w:val="00190F97"/>
    <w:rsid w:val="001911FD"/>
    <w:rsid w:val="00191798"/>
    <w:rsid w:val="00193416"/>
    <w:rsid w:val="00194574"/>
    <w:rsid w:val="00195A82"/>
    <w:rsid w:val="001A0A00"/>
    <w:rsid w:val="001A1169"/>
    <w:rsid w:val="001A1329"/>
    <w:rsid w:val="001A18BC"/>
    <w:rsid w:val="001A2154"/>
    <w:rsid w:val="001A3866"/>
    <w:rsid w:val="001A3F6E"/>
    <w:rsid w:val="001A402A"/>
    <w:rsid w:val="001A439C"/>
    <w:rsid w:val="001A468B"/>
    <w:rsid w:val="001A47F0"/>
    <w:rsid w:val="001A4959"/>
    <w:rsid w:val="001A4ACE"/>
    <w:rsid w:val="001A4EFD"/>
    <w:rsid w:val="001A7405"/>
    <w:rsid w:val="001A7905"/>
    <w:rsid w:val="001B0655"/>
    <w:rsid w:val="001B166B"/>
    <w:rsid w:val="001B1AC8"/>
    <w:rsid w:val="001B1B76"/>
    <w:rsid w:val="001B351D"/>
    <w:rsid w:val="001B3DD6"/>
    <w:rsid w:val="001B43D3"/>
    <w:rsid w:val="001B4FCA"/>
    <w:rsid w:val="001C023F"/>
    <w:rsid w:val="001C0B4F"/>
    <w:rsid w:val="001C0F4D"/>
    <w:rsid w:val="001C1063"/>
    <w:rsid w:val="001C1263"/>
    <w:rsid w:val="001C1E56"/>
    <w:rsid w:val="001C2517"/>
    <w:rsid w:val="001C29D4"/>
    <w:rsid w:val="001C371E"/>
    <w:rsid w:val="001C4B7E"/>
    <w:rsid w:val="001C53BB"/>
    <w:rsid w:val="001C6347"/>
    <w:rsid w:val="001C6C5C"/>
    <w:rsid w:val="001C7D38"/>
    <w:rsid w:val="001D0308"/>
    <w:rsid w:val="001D1C03"/>
    <w:rsid w:val="001D1F95"/>
    <w:rsid w:val="001D1F98"/>
    <w:rsid w:val="001D3210"/>
    <w:rsid w:val="001D35E6"/>
    <w:rsid w:val="001D3B2B"/>
    <w:rsid w:val="001D56D4"/>
    <w:rsid w:val="001D601B"/>
    <w:rsid w:val="001D6131"/>
    <w:rsid w:val="001D6670"/>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1D57"/>
    <w:rsid w:val="0020270D"/>
    <w:rsid w:val="0020315D"/>
    <w:rsid w:val="002032B7"/>
    <w:rsid w:val="002033CF"/>
    <w:rsid w:val="00203904"/>
    <w:rsid w:val="002046FF"/>
    <w:rsid w:val="002058F1"/>
    <w:rsid w:val="00206384"/>
    <w:rsid w:val="0020721C"/>
    <w:rsid w:val="00207432"/>
    <w:rsid w:val="00207791"/>
    <w:rsid w:val="00210F17"/>
    <w:rsid w:val="00212010"/>
    <w:rsid w:val="00212E41"/>
    <w:rsid w:val="00213B10"/>
    <w:rsid w:val="00213CAD"/>
    <w:rsid w:val="00215324"/>
    <w:rsid w:val="00215604"/>
    <w:rsid w:val="002168C9"/>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2E6E"/>
    <w:rsid w:val="002330F4"/>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690"/>
    <w:rsid w:val="00242C4A"/>
    <w:rsid w:val="00243133"/>
    <w:rsid w:val="002431F4"/>
    <w:rsid w:val="00243B16"/>
    <w:rsid w:val="00244E90"/>
    <w:rsid w:val="00245599"/>
    <w:rsid w:val="00246D52"/>
    <w:rsid w:val="002473AD"/>
    <w:rsid w:val="00251A7D"/>
    <w:rsid w:val="00251F6C"/>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0ACC"/>
    <w:rsid w:val="00271510"/>
    <w:rsid w:val="00271764"/>
    <w:rsid w:val="002719F2"/>
    <w:rsid w:val="00271F05"/>
    <w:rsid w:val="00272370"/>
    <w:rsid w:val="0027389A"/>
    <w:rsid w:val="00275F0E"/>
    <w:rsid w:val="00276459"/>
    <w:rsid w:val="0027664E"/>
    <w:rsid w:val="00276F89"/>
    <w:rsid w:val="002771FE"/>
    <w:rsid w:val="002777A2"/>
    <w:rsid w:val="00277904"/>
    <w:rsid w:val="00277A83"/>
    <w:rsid w:val="00277B8B"/>
    <w:rsid w:val="002805B2"/>
    <w:rsid w:val="00281BDE"/>
    <w:rsid w:val="00281E1D"/>
    <w:rsid w:val="00281F28"/>
    <w:rsid w:val="00281F6F"/>
    <w:rsid w:val="00282692"/>
    <w:rsid w:val="0028386F"/>
    <w:rsid w:val="00283B85"/>
    <w:rsid w:val="002849C9"/>
    <w:rsid w:val="00287254"/>
    <w:rsid w:val="002872AD"/>
    <w:rsid w:val="0028788C"/>
    <w:rsid w:val="0029096A"/>
    <w:rsid w:val="00293275"/>
    <w:rsid w:val="00293A9E"/>
    <w:rsid w:val="0029429E"/>
    <w:rsid w:val="0029442C"/>
    <w:rsid w:val="00296DBC"/>
    <w:rsid w:val="002A0396"/>
    <w:rsid w:val="002A29B4"/>
    <w:rsid w:val="002A537E"/>
    <w:rsid w:val="002A72B9"/>
    <w:rsid w:val="002B02E6"/>
    <w:rsid w:val="002B0640"/>
    <w:rsid w:val="002B138B"/>
    <w:rsid w:val="002B159A"/>
    <w:rsid w:val="002B17CA"/>
    <w:rsid w:val="002B1E20"/>
    <w:rsid w:val="002B3300"/>
    <w:rsid w:val="002B3308"/>
    <w:rsid w:val="002B3B6B"/>
    <w:rsid w:val="002B4FAA"/>
    <w:rsid w:val="002B524E"/>
    <w:rsid w:val="002B54B6"/>
    <w:rsid w:val="002B7525"/>
    <w:rsid w:val="002B7945"/>
    <w:rsid w:val="002C0827"/>
    <w:rsid w:val="002C2C55"/>
    <w:rsid w:val="002C4C1B"/>
    <w:rsid w:val="002C50B4"/>
    <w:rsid w:val="002C7ECE"/>
    <w:rsid w:val="002D047B"/>
    <w:rsid w:val="002D10BB"/>
    <w:rsid w:val="002D1A2F"/>
    <w:rsid w:val="002D1A4E"/>
    <w:rsid w:val="002D2051"/>
    <w:rsid w:val="002D25E3"/>
    <w:rsid w:val="002D2917"/>
    <w:rsid w:val="002D3F49"/>
    <w:rsid w:val="002D4091"/>
    <w:rsid w:val="002D4AB5"/>
    <w:rsid w:val="002D57FC"/>
    <w:rsid w:val="002D6AAA"/>
    <w:rsid w:val="002D6DC8"/>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0ACD"/>
    <w:rsid w:val="00301F7A"/>
    <w:rsid w:val="00302A4D"/>
    <w:rsid w:val="00304EDB"/>
    <w:rsid w:val="00305208"/>
    <w:rsid w:val="003059F4"/>
    <w:rsid w:val="00306BF9"/>
    <w:rsid w:val="00307919"/>
    <w:rsid w:val="0031193B"/>
    <w:rsid w:val="003121FB"/>
    <w:rsid w:val="00313568"/>
    <w:rsid w:val="003137A4"/>
    <w:rsid w:val="0031384B"/>
    <w:rsid w:val="00314091"/>
    <w:rsid w:val="003143DC"/>
    <w:rsid w:val="00315C58"/>
    <w:rsid w:val="00316DFF"/>
    <w:rsid w:val="00317B79"/>
    <w:rsid w:val="00320DA0"/>
    <w:rsid w:val="00321398"/>
    <w:rsid w:val="00322760"/>
    <w:rsid w:val="0032303C"/>
    <w:rsid w:val="00323491"/>
    <w:rsid w:val="00324DFD"/>
    <w:rsid w:val="00325801"/>
    <w:rsid w:val="00326E85"/>
    <w:rsid w:val="00327C4A"/>
    <w:rsid w:val="00331F2B"/>
    <w:rsid w:val="003328DF"/>
    <w:rsid w:val="00333432"/>
    <w:rsid w:val="003335B6"/>
    <w:rsid w:val="00334456"/>
    <w:rsid w:val="00334F20"/>
    <w:rsid w:val="0033546A"/>
    <w:rsid w:val="003360EC"/>
    <w:rsid w:val="0033775B"/>
    <w:rsid w:val="00337B5B"/>
    <w:rsid w:val="00341440"/>
    <w:rsid w:val="00341614"/>
    <w:rsid w:val="003416AF"/>
    <w:rsid w:val="00341E2C"/>
    <w:rsid w:val="00342C26"/>
    <w:rsid w:val="00344D20"/>
    <w:rsid w:val="0034531F"/>
    <w:rsid w:val="0034574E"/>
    <w:rsid w:val="00345B5E"/>
    <w:rsid w:val="003465A4"/>
    <w:rsid w:val="00346B3B"/>
    <w:rsid w:val="00346F2E"/>
    <w:rsid w:val="003472E9"/>
    <w:rsid w:val="00347B05"/>
    <w:rsid w:val="003537AF"/>
    <w:rsid w:val="00355236"/>
    <w:rsid w:val="00355D9E"/>
    <w:rsid w:val="003562C9"/>
    <w:rsid w:val="00357DF8"/>
    <w:rsid w:val="00357E44"/>
    <w:rsid w:val="00357EB0"/>
    <w:rsid w:val="00357EE4"/>
    <w:rsid w:val="00360B28"/>
    <w:rsid w:val="00361DBD"/>
    <w:rsid w:val="00362E42"/>
    <w:rsid w:val="003630C6"/>
    <w:rsid w:val="003637DD"/>
    <w:rsid w:val="00364CF5"/>
    <w:rsid w:val="00364E79"/>
    <w:rsid w:val="00365758"/>
    <w:rsid w:val="00366552"/>
    <w:rsid w:val="003665F9"/>
    <w:rsid w:val="003676C9"/>
    <w:rsid w:val="00370285"/>
    <w:rsid w:val="00370874"/>
    <w:rsid w:val="003710AE"/>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84B"/>
    <w:rsid w:val="00391903"/>
    <w:rsid w:val="00392888"/>
    <w:rsid w:val="00393213"/>
    <w:rsid w:val="003934B3"/>
    <w:rsid w:val="003939CD"/>
    <w:rsid w:val="00394189"/>
    <w:rsid w:val="00394B14"/>
    <w:rsid w:val="00395632"/>
    <w:rsid w:val="0039576F"/>
    <w:rsid w:val="003957C4"/>
    <w:rsid w:val="00397D87"/>
    <w:rsid w:val="00397E9B"/>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1E8"/>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2B29"/>
    <w:rsid w:val="003C34DD"/>
    <w:rsid w:val="003C4315"/>
    <w:rsid w:val="003C4806"/>
    <w:rsid w:val="003C51AA"/>
    <w:rsid w:val="003C631B"/>
    <w:rsid w:val="003C6866"/>
    <w:rsid w:val="003C7F75"/>
    <w:rsid w:val="003D024C"/>
    <w:rsid w:val="003D10DF"/>
    <w:rsid w:val="003D1925"/>
    <w:rsid w:val="003D1CFB"/>
    <w:rsid w:val="003D1ECD"/>
    <w:rsid w:val="003D1ED1"/>
    <w:rsid w:val="003D1FC0"/>
    <w:rsid w:val="003D2017"/>
    <w:rsid w:val="003D2772"/>
    <w:rsid w:val="003D2AB7"/>
    <w:rsid w:val="003D31C3"/>
    <w:rsid w:val="003D345D"/>
    <w:rsid w:val="003D420C"/>
    <w:rsid w:val="003D44FC"/>
    <w:rsid w:val="003D5992"/>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3D"/>
    <w:rsid w:val="003F16E5"/>
    <w:rsid w:val="003F3C81"/>
    <w:rsid w:val="003F5E23"/>
    <w:rsid w:val="003F6983"/>
    <w:rsid w:val="003F7055"/>
    <w:rsid w:val="003F7732"/>
    <w:rsid w:val="0040161D"/>
    <w:rsid w:val="00403E9F"/>
    <w:rsid w:val="00404988"/>
    <w:rsid w:val="0040724E"/>
    <w:rsid w:val="004101B8"/>
    <w:rsid w:val="004104FC"/>
    <w:rsid w:val="00410BB7"/>
    <w:rsid w:val="00410C4B"/>
    <w:rsid w:val="00411339"/>
    <w:rsid w:val="00412840"/>
    <w:rsid w:val="00414FD0"/>
    <w:rsid w:val="00416236"/>
    <w:rsid w:val="00416463"/>
    <w:rsid w:val="00416524"/>
    <w:rsid w:val="00416FF3"/>
    <w:rsid w:val="004204D4"/>
    <w:rsid w:val="00420A30"/>
    <w:rsid w:val="00426F55"/>
    <w:rsid w:val="00427D86"/>
    <w:rsid w:val="00430619"/>
    <w:rsid w:val="0043086F"/>
    <w:rsid w:val="00430BBC"/>
    <w:rsid w:val="00430D40"/>
    <w:rsid w:val="0043102F"/>
    <w:rsid w:val="0043182F"/>
    <w:rsid w:val="0043282D"/>
    <w:rsid w:val="00434BCA"/>
    <w:rsid w:val="00436B89"/>
    <w:rsid w:val="004376E8"/>
    <w:rsid w:val="00441223"/>
    <w:rsid w:val="00441779"/>
    <w:rsid w:val="00443679"/>
    <w:rsid w:val="00443BA8"/>
    <w:rsid w:val="0044541A"/>
    <w:rsid w:val="00445854"/>
    <w:rsid w:val="00445C13"/>
    <w:rsid w:val="00446BCD"/>
    <w:rsid w:val="00446DF7"/>
    <w:rsid w:val="00447A2C"/>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321"/>
    <w:rsid w:val="00470B1D"/>
    <w:rsid w:val="00471782"/>
    <w:rsid w:val="00471C04"/>
    <w:rsid w:val="004727E4"/>
    <w:rsid w:val="004732D3"/>
    <w:rsid w:val="004759D0"/>
    <w:rsid w:val="00482093"/>
    <w:rsid w:val="004827E5"/>
    <w:rsid w:val="00483372"/>
    <w:rsid w:val="00483E70"/>
    <w:rsid w:val="00484965"/>
    <w:rsid w:val="004854E1"/>
    <w:rsid w:val="00485767"/>
    <w:rsid w:val="0048636D"/>
    <w:rsid w:val="004905EF"/>
    <w:rsid w:val="004906FE"/>
    <w:rsid w:val="00490A63"/>
    <w:rsid w:val="004917BF"/>
    <w:rsid w:val="004919E5"/>
    <w:rsid w:val="0049234D"/>
    <w:rsid w:val="0049253B"/>
    <w:rsid w:val="004928A2"/>
    <w:rsid w:val="00494FE1"/>
    <w:rsid w:val="0049662F"/>
    <w:rsid w:val="00497551"/>
    <w:rsid w:val="00497BB7"/>
    <w:rsid w:val="004A1176"/>
    <w:rsid w:val="004A1A83"/>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B74"/>
    <w:rsid w:val="004E0D40"/>
    <w:rsid w:val="004E1C99"/>
    <w:rsid w:val="004E31BA"/>
    <w:rsid w:val="004E339C"/>
    <w:rsid w:val="004E4B23"/>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691"/>
    <w:rsid w:val="00517910"/>
    <w:rsid w:val="005204DA"/>
    <w:rsid w:val="00521DD2"/>
    <w:rsid w:val="00522F73"/>
    <w:rsid w:val="00523B97"/>
    <w:rsid w:val="0052536F"/>
    <w:rsid w:val="005258C6"/>
    <w:rsid w:val="00525A8B"/>
    <w:rsid w:val="00526403"/>
    <w:rsid w:val="00526BC3"/>
    <w:rsid w:val="00527585"/>
    <w:rsid w:val="00527B98"/>
    <w:rsid w:val="00530B7F"/>
    <w:rsid w:val="005325B4"/>
    <w:rsid w:val="005325E6"/>
    <w:rsid w:val="005330CB"/>
    <w:rsid w:val="005331A2"/>
    <w:rsid w:val="0053371F"/>
    <w:rsid w:val="005338C9"/>
    <w:rsid w:val="00535312"/>
    <w:rsid w:val="005362A7"/>
    <w:rsid w:val="005366FA"/>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D37"/>
    <w:rsid w:val="005548C6"/>
    <w:rsid w:val="005572B3"/>
    <w:rsid w:val="005608EF"/>
    <w:rsid w:val="00561849"/>
    <w:rsid w:val="00561A62"/>
    <w:rsid w:val="0056384D"/>
    <w:rsid w:val="00563BBB"/>
    <w:rsid w:val="00564C76"/>
    <w:rsid w:val="00564CB9"/>
    <w:rsid w:val="00564D5B"/>
    <w:rsid w:val="0056504F"/>
    <w:rsid w:val="005656FE"/>
    <w:rsid w:val="005675E4"/>
    <w:rsid w:val="00567EC6"/>
    <w:rsid w:val="0057243E"/>
    <w:rsid w:val="005728C0"/>
    <w:rsid w:val="00573DAF"/>
    <w:rsid w:val="00576D1E"/>
    <w:rsid w:val="0057769B"/>
    <w:rsid w:val="00580969"/>
    <w:rsid w:val="00580A6C"/>
    <w:rsid w:val="00580E78"/>
    <w:rsid w:val="00582BB1"/>
    <w:rsid w:val="00583A6F"/>
    <w:rsid w:val="00584AAE"/>
    <w:rsid w:val="00585F44"/>
    <w:rsid w:val="005865AC"/>
    <w:rsid w:val="00586721"/>
    <w:rsid w:val="00586893"/>
    <w:rsid w:val="00586F52"/>
    <w:rsid w:val="005876AB"/>
    <w:rsid w:val="00590075"/>
    <w:rsid w:val="005917AC"/>
    <w:rsid w:val="00591887"/>
    <w:rsid w:val="00594746"/>
    <w:rsid w:val="00596886"/>
    <w:rsid w:val="00596E05"/>
    <w:rsid w:val="00597961"/>
    <w:rsid w:val="005A10EB"/>
    <w:rsid w:val="005A1AB0"/>
    <w:rsid w:val="005A1E50"/>
    <w:rsid w:val="005A384E"/>
    <w:rsid w:val="005A39B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57F"/>
    <w:rsid w:val="005D3CC9"/>
    <w:rsid w:val="005D40CE"/>
    <w:rsid w:val="005D4105"/>
    <w:rsid w:val="005D5DD8"/>
    <w:rsid w:val="005D7595"/>
    <w:rsid w:val="005D7A2D"/>
    <w:rsid w:val="005E0291"/>
    <w:rsid w:val="005E0F69"/>
    <w:rsid w:val="005E1238"/>
    <w:rsid w:val="005E1CB9"/>
    <w:rsid w:val="005E2364"/>
    <w:rsid w:val="005E310C"/>
    <w:rsid w:val="005E3A11"/>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05"/>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17D51"/>
    <w:rsid w:val="006206E5"/>
    <w:rsid w:val="00620AF5"/>
    <w:rsid w:val="00620C40"/>
    <w:rsid w:val="00620FEC"/>
    <w:rsid w:val="0062107B"/>
    <w:rsid w:val="00621754"/>
    <w:rsid w:val="00621978"/>
    <w:rsid w:val="006222ED"/>
    <w:rsid w:val="0062241A"/>
    <w:rsid w:val="00625AB7"/>
    <w:rsid w:val="00625E90"/>
    <w:rsid w:val="00625F19"/>
    <w:rsid w:val="0062659E"/>
    <w:rsid w:val="00627818"/>
    <w:rsid w:val="00634978"/>
    <w:rsid w:val="00637944"/>
    <w:rsid w:val="0064316C"/>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3C51"/>
    <w:rsid w:val="00675063"/>
    <w:rsid w:val="006751CC"/>
    <w:rsid w:val="00675980"/>
    <w:rsid w:val="00676BB2"/>
    <w:rsid w:val="00677203"/>
    <w:rsid w:val="0067753E"/>
    <w:rsid w:val="00680087"/>
    <w:rsid w:val="00681017"/>
    <w:rsid w:val="0068177A"/>
    <w:rsid w:val="006818F1"/>
    <w:rsid w:val="00681BBC"/>
    <w:rsid w:val="0068308B"/>
    <w:rsid w:val="00685133"/>
    <w:rsid w:val="00685590"/>
    <w:rsid w:val="0068572A"/>
    <w:rsid w:val="00686347"/>
    <w:rsid w:val="0068644A"/>
    <w:rsid w:val="0068649C"/>
    <w:rsid w:val="00690CC8"/>
    <w:rsid w:val="0069246C"/>
    <w:rsid w:val="006941A2"/>
    <w:rsid w:val="0069598B"/>
    <w:rsid w:val="00696DFF"/>
    <w:rsid w:val="006A1B3D"/>
    <w:rsid w:val="006A21F6"/>
    <w:rsid w:val="006A32F4"/>
    <w:rsid w:val="006A33FD"/>
    <w:rsid w:val="006A3444"/>
    <w:rsid w:val="006A3AF1"/>
    <w:rsid w:val="006A3C41"/>
    <w:rsid w:val="006A42C6"/>
    <w:rsid w:val="006A47C5"/>
    <w:rsid w:val="006A4F07"/>
    <w:rsid w:val="006A6339"/>
    <w:rsid w:val="006A6820"/>
    <w:rsid w:val="006B1B38"/>
    <w:rsid w:val="006B2C8D"/>
    <w:rsid w:val="006B2FD7"/>
    <w:rsid w:val="006B3115"/>
    <w:rsid w:val="006B4415"/>
    <w:rsid w:val="006B54F8"/>
    <w:rsid w:val="006B5BC2"/>
    <w:rsid w:val="006B65DD"/>
    <w:rsid w:val="006B6F2D"/>
    <w:rsid w:val="006C164F"/>
    <w:rsid w:val="006C2075"/>
    <w:rsid w:val="006C2E37"/>
    <w:rsid w:val="006C322F"/>
    <w:rsid w:val="006C3AE5"/>
    <w:rsid w:val="006C4CC6"/>
    <w:rsid w:val="006C52A8"/>
    <w:rsid w:val="006C589B"/>
    <w:rsid w:val="006C5ED5"/>
    <w:rsid w:val="006C6E4C"/>
    <w:rsid w:val="006D022F"/>
    <w:rsid w:val="006D029E"/>
    <w:rsid w:val="006D3C81"/>
    <w:rsid w:val="006D40B3"/>
    <w:rsid w:val="006D4DFF"/>
    <w:rsid w:val="006D5B80"/>
    <w:rsid w:val="006E1BE2"/>
    <w:rsid w:val="006E37F7"/>
    <w:rsid w:val="006E3819"/>
    <w:rsid w:val="006E4900"/>
    <w:rsid w:val="006E5D74"/>
    <w:rsid w:val="006E659F"/>
    <w:rsid w:val="006E7152"/>
    <w:rsid w:val="006E7C70"/>
    <w:rsid w:val="006F02E9"/>
    <w:rsid w:val="006F0481"/>
    <w:rsid w:val="006F0815"/>
    <w:rsid w:val="006F1716"/>
    <w:rsid w:val="006F2B60"/>
    <w:rsid w:val="006F2DBC"/>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31D"/>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49"/>
    <w:rsid w:val="00741282"/>
    <w:rsid w:val="00743D9B"/>
    <w:rsid w:val="007441A4"/>
    <w:rsid w:val="0074585E"/>
    <w:rsid w:val="00746236"/>
    <w:rsid w:val="00747B6E"/>
    <w:rsid w:val="0075133E"/>
    <w:rsid w:val="00751E63"/>
    <w:rsid w:val="00752714"/>
    <w:rsid w:val="00753657"/>
    <w:rsid w:val="00754C86"/>
    <w:rsid w:val="00755178"/>
    <w:rsid w:val="007551C5"/>
    <w:rsid w:val="00755938"/>
    <w:rsid w:val="00760445"/>
    <w:rsid w:val="00760B16"/>
    <w:rsid w:val="00760D83"/>
    <w:rsid w:val="00760EA4"/>
    <w:rsid w:val="00762025"/>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8BA"/>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0F6"/>
    <w:rsid w:val="00796305"/>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6B94"/>
    <w:rsid w:val="007A6EC2"/>
    <w:rsid w:val="007A6F55"/>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0EA"/>
    <w:rsid w:val="007C7BC5"/>
    <w:rsid w:val="007D2C32"/>
    <w:rsid w:val="007D333A"/>
    <w:rsid w:val="007D357A"/>
    <w:rsid w:val="007D43AB"/>
    <w:rsid w:val="007D46CC"/>
    <w:rsid w:val="007D4794"/>
    <w:rsid w:val="007D58CF"/>
    <w:rsid w:val="007D59EB"/>
    <w:rsid w:val="007D68D4"/>
    <w:rsid w:val="007E1A98"/>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15B"/>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631F"/>
    <w:rsid w:val="0081663A"/>
    <w:rsid w:val="008171DC"/>
    <w:rsid w:val="0082016A"/>
    <w:rsid w:val="008208B4"/>
    <w:rsid w:val="00820B89"/>
    <w:rsid w:val="0082137D"/>
    <w:rsid w:val="0082232B"/>
    <w:rsid w:val="00822964"/>
    <w:rsid w:val="008231E3"/>
    <w:rsid w:val="00823B35"/>
    <w:rsid w:val="00826141"/>
    <w:rsid w:val="008276E3"/>
    <w:rsid w:val="00827891"/>
    <w:rsid w:val="00827910"/>
    <w:rsid w:val="008339C2"/>
    <w:rsid w:val="0083486A"/>
    <w:rsid w:val="00836377"/>
    <w:rsid w:val="00837398"/>
    <w:rsid w:val="008401D2"/>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0ECA"/>
    <w:rsid w:val="00861308"/>
    <w:rsid w:val="00861F76"/>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59F6"/>
    <w:rsid w:val="0087617E"/>
    <w:rsid w:val="00877548"/>
    <w:rsid w:val="008816D8"/>
    <w:rsid w:val="008832E2"/>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30A7"/>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0E2D"/>
    <w:rsid w:val="008C107D"/>
    <w:rsid w:val="008C281D"/>
    <w:rsid w:val="008C2F1E"/>
    <w:rsid w:val="008C34A9"/>
    <w:rsid w:val="008C44DD"/>
    <w:rsid w:val="008C482E"/>
    <w:rsid w:val="008C5B47"/>
    <w:rsid w:val="008C65F6"/>
    <w:rsid w:val="008C6642"/>
    <w:rsid w:val="008C77B5"/>
    <w:rsid w:val="008C789B"/>
    <w:rsid w:val="008D0F7A"/>
    <w:rsid w:val="008D33DC"/>
    <w:rsid w:val="008D3B96"/>
    <w:rsid w:val="008D3FF3"/>
    <w:rsid w:val="008D4536"/>
    <w:rsid w:val="008D4A85"/>
    <w:rsid w:val="008D5E13"/>
    <w:rsid w:val="008D6503"/>
    <w:rsid w:val="008D689E"/>
    <w:rsid w:val="008D72D4"/>
    <w:rsid w:val="008D7DA4"/>
    <w:rsid w:val="008E0142"/>
    <w:rsid w:val="008E1E5C"/>
    <w:rsid w:val="008E1F5D"/>
    <w:rsid w:val="008E23B9"/>
    <w:rsid w:val="008E23F7"/>
    <w:rsid w:val="008E252C"/>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2AF7"/>
    <w:rsid w:val="00912EB3"/>
    <w:rsid w:val="00913168"/>
    <w:rsid w:val="009139CC"/>
    <w:rsid w:val="009139DB"/>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097"/>
    <w:rsid w:val="009327C1"/>
    <w:rsid w:val="00932B42"/>
    <w:rsid w:val="00932CA7"/>
    <w:rsid w:val="00933494"/>
    <w:rsid w:val="00933D24"/>
    <w:rsid w:val="00933DF7"/>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16AD"/>
    <w:rsid w:val="009638CF"/>
    <w:rsid w:val="00963CD9"/>
    <w:rsid w:val="00965807"/>
    <w:rsid w:val="00966A08"/>
    <w:rsid w:val="00966E14"/>
    <w:rsid w:val="00967B01"/>
    <w:rsid w:val="009709EB"/>
    <w:rsid w:val="00971FC5"/>
    <w:rsid w:val="00973569"/>
    <w:rsid w:val="00973FA5"/>
    <w:rsid w:val="009740CD"/>
    <w:rsid w:val="00974C68"/>
    <w:rsid w:val="00975CFD"/>
    <w:rsid w:val="00975FC3"/>
    <w:rsid w:val="00976001"/>
    <w:rsid w:val="009769B2"/>
    <w:rsid w:val="00977919"/>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246"/>
    <w:rsid w:val="00994E95"/>
    <w:rsid w:val="00995349"/>
    <w:rsid w:val="00995468"/>
    <w:rsid w:val="009965A3"/>
    <w:rsid w:val="00997BFD"/>
    <w:rsid w:val="009A0C60"/>
    <w:rsid w:val="009A165D"/>
    <w:rsid w:val="009A17E8"/>
    <w:rsid w:val="009A44B8"/>
    <w:rsid w:val="009A4500"/>
    <w:rsid w:val="009A4ED8"/>
    <w:rsid w:val="009A72C8"/>
    <w:rsid w:val="009B06CD"/>
    <w:rsid w:val="009B0E3C"/>
    <w:rsid w:val="009B23F9"/>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32EA"/>
    <w:rsid w:val="009C473E"/>
    <w:rsid w:val="009C63A7"/>
    <w:rsid w:val="009C7AF8"/>
    <w:rsid w:val="009C7DAE"/>
    <w:rsid w:val="009D01E5"/>
    <w:rsid w:val="009D157B"/>
    <w:rsid w:val="009D1956"/>
    <w:rsid w:val="009D324D"/>
    <w:rsid w:val="009D3864"/>
    <w:rsid w:val="009D387E"/>
    <w:rsid w:val="009D4311"/>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292E"/>
    <w:rsid w:val="009F44F7"/>
    <w:rsid w:val="009F4D4F"/>
    <w:rsid w:val="009F4ED0"/>
    <w:rsid w:val="009F5303"/>
    <w:rsid w:val="009F59D9"/>
    <w:rsid w:val="009F6E61"/>
    <w:rsid w:val="009F75D5"/>
    <w:rsid w:val="009F7749"/>
    <w:rsid w:val="00A0053E"/>
    <w:rsid w:val="00A00717"/>
    <w:rsid w:val="00A0114D"/>
    <w:rsid w:val="00A02D0A"/>
    <w:rsid w:val="00A03CA6"/>
    <w:rsid w:val="00A042A4"/>
    <w:rsid w:val="00A04905"/>
    <w:rsid w:val="00A05027"/>
    <w:rsid w:val="00A05DFB"/>
    <w:rsid w:val="00A06AE7"/>
    <w:rsid w:val="00A06E70"/>
    <w:rsid w:val="00A06F0E"/>
    <w:rsid w:val="00A07764"/>
    <w:rsid w:val="00A102F3"/>
    <w:rsid w:val="00A11530"/>
    <w:rsid w:val="00A1185E"/>
    <w:rsid w:val="00A14B1B"/>
    <w:rsid w:val="00A155AC"/>
    <w:rsid w:val="00A161BC"/>
    <w:rsid w:val="00A16775"/>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06F"/>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457"/>
    <w:rsid w:val="00A62AB9"/>
    <w:rsid w:val="00A6330B"/>
    <w:rsid w:val="00A63728"/>
    <w:rsid w:val="00A63E6F"/>
    <w:rsid w:val="00A66BCF"/>
    <w:rsid w:val="00A713BB"/>
    <w:rsid w:val="00A7260F"/>
    <w:rsid w:val="00A767B5"/>
    <w:rsid w:val="00A768BB"/>
    <w:rsid w:val="00A81570"/>
    <w:rsid w:val="00A840BD"/>
    <w:rsid w:val="00A8606C"/>
    <w:rsid w:val="00A87608"/>
    <w:rsid w:val="00A87CB9"/>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47AF"/>
    <w:rsid w:val="00AB57F5"/>
    <w:rsid w:val="00AB6046"/>
    <w:rsid w:val="00AB7D81"/>
    <w:rsid w:val="00AC0213"/>
    <w:rsid w:val="00AC16C3"/>
    <w:rsid w:val="00AC1F35"/>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E79D8"/>
    <w:rsid w:val="00AF0753"/>
    <w:rsid w:val="00AF184A"/>
    <w:rsid w:val="00AF2613"/>
    <w:rsid w:val="00AF364B"/>
    <w:rsid w:val="00AF3CBC"/>
    <w:rsid w:val="00AF3F38"/>
    <w:rsid w:val="00AF429E"/>
    <w:rsid w:val="00AF5AA4"/>
    <w:rsid w:val="00AF5BCD"/>
    <w:rsid w:val="00AF6AC2"/>
    <w:rsid w:val="00AF7ACE"/>
    <w:rsid w:val="00B0002F"/>
    <w:rsid w:val="00B004AF"/>
    <w:rsid w:val="00B013F8"/>
    <w:rsid w:val="00B0175F"/>
    <w:rsid w:val="00B02E1E"/>
    <w:rsid w:val="00B03D30"/>
    <w:rsid w:val="00B047D4"/>
    <w:rsid w:val="00B04B42"/>
    <w:rsid w:val="00B04D2C"/>
    <w:rsid w:val="00B04E90"/>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2083"/>
    <w:rsid w:val="00B44C66"/>
    <w:rsid w:val="00B45A17"/>
    <w:rsid w:val="00B46458"/>
    <w:rsid w:val="00B47009"/>
    <w:rsid w:val="00B47DE4"/>
    <w:rsid w:val="00B50461"/>
    <w:rsid w:val="00B50942"/>
    <w:rsid w:val="00B52FDA"/>
    <w:rsid w:val="00B532C9"/>
    <w:rsid w:val="00B537F3"/>
    <w:rsid w:val="00B5514C"/>
    <w:rsid w:val="00B55155"/>
    <w:rsid w:val="00B5600D"/>
    <w:rsid w:val="00B560BC"/>
    <w:rsid w:val="00B56C82"/>
    <w:rsid w:val="00B5773C"/>
    <w:rsid w:val="00B579DF"/>
    <w:rsid w:val="00B579E0"/>
    <w:rsid w:val="00B57D4B"/>
    <w:rsid w:val="00B603BE"/>
    <w:rsid w:val="00B60F64"/>
    <w:rsid w:val="00B62F8D"/>
    <w:rsid w:val="00B639CE"/>
    <w:rsid w:val="00B63CE5"/>
    <w:rsid w:val="00B63FB6"/>
    <w:rsid w:val="00B643A7"/>
    <w:rsid w:val="00B6775D"/>
    <w:rsid w:val="00B67D7A"/>
    <w:rsid w:val="00B7379E"/>
    <w:rsid w:val="00B74BE6"/>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408"/>
    <w:rsid w:val="00B979F3"/>
    <w:rsid w:val="00BA01C0"/>
    <w:rsid w:val="00BA176B"/>
    <w:rsid w:val="00BA2C48"/>
    <w:rsid w:val="00BA30CD"/>
    <w:rsid w:val="00BA33F5"/>
    <w:rsid w:val="00BA42AD"/>
    <w:rsid w:val="00BA48CE"/>
    <w:rsid w:val="00BA48F4"/>
    <w:rsid w:val="00BA7B67"/>
    <w:rsid w:val="00BB00E3"/>
    <w:rsid w:val="00BB09F4"/>
    <w:rsid w:val="00BB133E"/>
    <w:rsid w:val="00BB1744"/>
    <w:rsid w:val="00BB31CC"/>
    <w:rsid w:val="00BB3951"/>
    <w:rsid w:val="00BB43A2"/>
    <w:rsid w:val="00BB45ED"/>
    <w:rsid w:val="00BB4731"/>
    <w:rsid w:val="00BB47F9"/>
    <w:rsid w:val="00BB5A22"/>
    <w:rsid w:val="00BB6735"/>
    <w:rsid w:val="00BB715A"/>
    <w:rsid w:val="00BC049E"/>
    <w:rsid w:val="00BC10FC"/>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17E51"/>
    <w:rsid w:val="00C2034A"/>
    <w:rsid w:val="00C21F2E"/>
    <w:rsid w:val="00C23304"/>
    <w:rsid w:val="00C25131"/>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4737"/>
    <w:rsid w:val="00C457E5"/>
    <w:rsid w:val="00C457FA"/>
    <w:rsid w:val="00C47E84"/>
    <w:rsid w:val="00C47FAB"/>
    <w:rsid w:val="00C5014C"/>
    <w:rsid w:val="00C50E7B"/>
    <w:rsid w:val="00C5287B"/>
    <w:rsid w:val="00C52DB2"/>
    <w:rsid w:val="00C543D6"/>
    <w:rsid w:val="00C54DC0"/>
    <w:rsid w:val="00C5594C"/>
    <w:rsid w:val="00C570CE"/>
    <w:rsid w:val="00C57B41"/>
    <w:rsid w:val="00C60038"/>
    <w:rsid w:val="00C602EA"/>
    <w:rsid w:val="00C619E3"/>
    <w:rsid w:val="00C62342"/>
    <w:rsid w:val="00C6315B"/>
    <w:rsid w:val="00C63D9F"/>
    <w:rsid w:val="00C649F4"/>
    <w:rsid w:val="00C64D6E"/>
    <w:rsid w:val="00C66F7E"/>
    <w:rsid w:val="00C70F2B"/>
    <w:rsid w:val="00C72545"/>
    <w:rsid w:val="00C72E79"/>
    <w:rsid w:val="00C7403B"/>
    <w:rsid w:val="00C74C45"/>
    <w:rsid w:val="00C75F27"/>
    <w:rsid w:val="00C767B7"/>
    <w:rsid w:val="00C77854"/>
    <w:rsid w:val="00C77E4C"/>
    <w:rsid w:val="00C80C83"/>
    <w:rsid w:val="00C827F6"/>
    <w:rsid w:val="00C8284E"/>
    <w:rsid w:val="00C834B6"/>
    <w:rsid w:val="00C84C52"/>
    <w:rsid w:val="00C85FD0"/>
    <w:rsid w:val="00C86C37"/>
    <w:rsid w:val="00C86DEF"/>
    <w:rsid w:val="00C90639"/>
    <w:rsid w:val="00C909D7"/>
    <w:rsid w:val="00C912E7"/>
    <w:rsid w:val="00C91EF3"/>
    <w:rsid w:val="00C93A9E"/>
    <w:rsid w:val="00C941E2"/>
    <w:rsid w:val="00CA101F"/>
    <w:rsid w:val="00CA1BB6"/>
    <w:rsid w:val="00CA1F90"/>
    <w:rsid w:val="00CA3C63"/>
    <w:rsid w:val="00CA5444"/>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13E7"/>
    <w:rsid w:val="00D018B0"/>
    <w:rsid w:val="00D01D59"/>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510F"/>
    <w:rsid w:val="00D17D93"/>
    <w:rsid w:val="00D17DDF"/>
    <w:rsid w:val="00D20038"/>
    <w:rsid w:val="00D2075C"/>
    <w:rsid w:val="00D2098F"/>
    <w:rsid w:val="00D20F13"/>
    <w:rsid w:val="00D21738"/>
    <w:rsid w:val="00D21CC3"/>
    <w:rsid w:val="00D21F8B"/>
    <w:rsid w:val="00D221E9"/>
    <w:rsid w:val="00D22F38"/>
    <w:rsid w:val="00D23AF5"/>
    <w:rsid w:val="00D23B4E"/>
    <w:rsid w:val="00D241B2"/>
    <w:rsid w:val="00D24F14"/>
    <w:rsid w:val="00D259AE"/>
    <w:rsid w:val="00D25C85"/>
    <w:rsid w:val="00D26065"/>
    <w:rsid w:val="00D26166"/>
    <w:rsid w:val="00D26FF8"/>
    <w:rsid w:val="00D2792D"/>
    <w:rsid w:val="00D279AF"/>
    <w:rsid w:val="00D27D95"/>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5A61"/>
    <w:rsid w:val="00D564AB"/>
    <w:rsid w:val="00D56AB6"/>
    <w:rsid w:val="00D57984"/>
    <w:rsid w:val="00D57E0B"/>
    <w:rsid w:val="00D6160D"/>
    <w:rsid w:val="00D627EE"/>
    <w:rsid w:val="00D63375"/>
    <w:rsid w:val="00D64B46"/>
    <w:rsid w:val="00D64E81"/>
    <w:rsid w:val="00D65ED8"/>
    <w:rsid w:val="00D66083"/>
    <w:rsid w:val="00D66282"/>
    <w:rsid w:val="00D66398"/>
    <w:rsid w:val="00D672CD"/>
    <w:rsid w:val="00D677CA"/>
    <w:rsid w:val="00D67E49"/>
    <w:rsid w:val="00D7035F"/>
    <w:rsid w:val="00D70C1D"/>
    <w:rsid w:val="00D70C80"/>
    <w:rsid w:val="00D7390A"/>
    <w:rsid w:val="00D74772"/>
    <w:rsid w:val="00D74E70"/>
    <w:rsid w:val="00D760E4"/>
    <w:rsid w:val="00D77447"/>
    <w:rsid w:val="00D7792F"/>
    <w:rsid w:val="00D80BE0"/>
    <w:rsid w:val="00D81EBD"/>
    <w:rsid w:val="00D82956"/>
    <w:rsid w:val="00D83108"/>
    <w:rsid w:val="00D83AB8"/>
    <w:rsid w:val="00D84314"/>
    <w:rsid w:val="00D8540F"/>
    <w:rsid w:val="00D85C8B"/>
    <w:rsid w:val="00D86645"/>
    <w:rsid w:val="00D86795"/>
    <w:rsid w:val="00D90954"/>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5A75"/>
    <w:rsid w:val="00DC671C"/>
    <w:rsid w:val="00DC6EF4"/>
    <w:rsid w:val="00DD0DED"/>
    <w:rsid w:val="00DD2AC7"/>
    <w:rsid w:val="00DD2F4F"/>
    <w:rsid w:val="00DD2FCE"/>
    <w:rsid w:val="00DD307B"/>
    <w:rsid w:val="00DD35A8"/>
    <w:rsid w:val="00DD3CE9"/>
    <w:rsid w:val="00DD54AA"/>
    <w:rsid w:val="00DD5CA2"/>
    <w:rsid w:val="00DD632C"/>
    <w:rsid w:val="00DE0234"/>
    <w:rsid w:val="00DE1EF0"/>
    <w:rsid w:val="00DE231B"/>
    <w:rsid w:val="00DE27ED"/>
    <w:rsid w:val="00DE2B5D"/>
    <w:rsid w:val="00DE34DE"/>
    <w:rsid w:val="00DE3D83"/>
    <w:rsid w:val="00DE4824"/>
    <w:rsid w:val="00DE5357"/>
    <w:rsid w:val="00DE6739"/>
    <w:rsid w:val="00DE68AE"/>
    <w:rsid w:val="00DE708B"/>
    <w:rsid w:val="00DF152F"/>
    <w:rsid w:val="00DF1EDA"/>
    <w:rsid w:val="00DF2080"/>
    <w:rsid w:val="00DF56E8"/>
    <w:rsid w:val="00DF582D"/>
    <w:rsid w:val="00DF65F9"/>
    <w:rsid w:val="00DF697A"/>
    <w:rsid w:val="00DF79C9"/>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62D7"/>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0C7D"/>
    <w:rsid w:val="00E62244"/>
    <w:rsid w:val="00E62BC7"/>
    <w:rsid w:val="00E62E44"/>
    <w:rsid w:val="00E62EE2"/>
    <w:rsid w:val="00E64408"/>
    <w:rsid w:val="00E669DC"/>
    <w:rsid w:val="00E66F99"/>
    <w:rsid w:val="00E67EA7"/>
    <w:rsid w:val="00E67EEA"/>
    <w:rsid w:val="00E73F0A"/>
    <w:rsid w:val="00E7520E"/>
    <w:rsid w:val="00E75864"/>
    <w:rsid w:val="00E75955"/>
    <w:rsid w:val="00E75CD4"/>
    <w:rsid w:val="00E76773"/>
    <w:rsid w:val="00E76F99"/>
    <w:rsid w:val="00E777D9"/>
    <w:rsid w:val="00E801AF"/>
    <w:rsid w:val="00E814F2"/>
    <w:rsid w:val="00E81C64"/>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6F75"/>
    <w:rsid w:val="00EA78F2"/>
    <w:rsid w:val="00EA7A96"/>
    <w:rsid w:val="00EA7C23"/>
    <w:rsid w:val="00EB04E4"/>
    <w:rsid w:val="00EB0747"/>
    <w:rsid w:val="00EB0C92"/>
    <w:rsid w:val="00EB0CE8"/>
    <w:rsid w:val="00EB2E69"/>
    <w:rsid w:val="00EB32A5"/>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99D"/>
    <w:rsid w:val="00EE5CD7"/>
    <w:rsid w:val="00EE70D8"/>
    <w:rsid w:val="00EE7156"/>
    <w:rsid w:val="00EE73D9"/>
    <w:rsid w:val="00EE78CB"/>
    <w:rsid w:val="00EF0448"/>
    <w:rsid w:val="00EF16CC"/>
    <w:rsid w:val="00EF1EFB"/>
    <w:rsid w:val="00EF2B67"/>
    <w:rsid w:val="00EF3903"/>
    <w:rsid w:val="00EF3FAD"/>
    <w:rsid w:val="00EF6609"/>
    <w:rsid w:val="00F0134C"/>
    <w:rsid w:val="00F016D9"/>
    <w:rsid w:val="00F0175F"/>
    <w:rsid w:val="00F01EF6"/>
    <w:rsid w:val="00F02183"/>
    <w:rsid w:val="00F02E4B"/>
    <w:rsid w:val="00F0400D"/>
    <w:rsid w:val="00F05DEF"/>
    <w:rsid w:val="00F078E1"/>
    <w:rsid w:val="00F07EDC"/>
    <w:rsid w:val="00F10797"/>
    <w:rsid w:val="00F108F7"/>
    <w:rsid w:val="00F124BE"/>
    <w:rsid w:val="00F13250"/>
    <w:rsid w:val="00F13A5F"/>
    <w:rsid w:val="00F13D6E"/>
    <w:rsid w:val="00F1416E"/>
    <w:rsid w:val="00F14777"/>
    <w:rsid w:val="00F1478F"/>
    <w:rsid w:val="00F14E06"/>
    <w:rsid w:val="00F15BE5"/>
    <w:rsid w:val="00F15BFD"/>
    <w:rsid w:val="00F165EC"/>
    <w:rsid w:val="00F217CB"/>
    <w:rsid w:val="00F23127"/>
    <w:rsid w:val="00F2482F"/>
    <w:rsid w:val="00F24C13"/>
    <w:rsid w:val="00F24D0D"/>
    <w:rsid w:val="00F268CC"/>
    <w:rsid w:val="00F26D4A"/>
    <w:rsid w:val="00F275E2"/>
    <w:rsid w:val="00F27A64"/>
    <w:rsid w:val="00F310C1"/>
    <w:rsid w:val="00F312B8"/>
    <w:rsid w:val="00F32534"/>
    <w:rsid w:val="00F32C25"/>
    <w:rsid w:val="00F34D6F"/>
    <w:rsid w:val="00F36377"/>
    <w:rsid w:val="00F37BE1"/>
    <w:rsid w:val="00F40673"/>
    <w:rsid w:val="00F41D2E"/>
    <w:rsid w:val="00F42E69"/>
    <w:rsid w:val="00F4325B"/>
    <w:rsid w:val="00F46403"/>
    <w:rsid w:val="00F465CB"/>
    <w:rsid w:val="00F466F5"/>
    <w:rsid w:val="00F47DDD"/>
    <w:rsid w:val="00F509C0"/>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0971"/>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3D19"/>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72A"/>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 w:val="66FBC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2"/>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3"/>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7"/>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896430856">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630012018">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on.stj.jus.br/SCON/GetInteiroTeorDoAcordao?num_registro=201202675861&amp;dt_publicacao=26/06/202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cb.gov.br/pre/normativos/busca/downloadNormativo.asp?arquivo=/Lists/Normativos/Attachments/42992/Res_1064_v1_O.pdf" TargetMode="External"/><Relationship Id="rId1" Type="http://schemas.openxmlformats.org/officeDocument/2006/relationships/hyperlink" Target="https://scon.stj.jus.br/SCON/GetInteiroTeorDoAcordao?num_registro=201202675861&amp;dt_publicacao=26/06/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79</TotalTime>
  <Pages>13</Pages>
  <Words>3076</Words>
  <Characters>16460</Characters>
  <Application>Microsoft Office Word</Application>
  <DocSecurity>0</DocSecurity>
  <Lines>137</Lines>
  <Paragraphs>38</Paragraphs>
  <ScaleCrop>false</ScaleCrop>
  <Company>Cível na Prática</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381</cp:revision>
  <cp:lastPrinted>2020-10-30T02:04:00Z</cp:lastPrinted>
  <dcterms:created xsi:type="dcterms:W3CDTF">2022-03-31T01:23:00Z</dcterms:created>
  <dcterms:modified xsi:type="dcterms:W3CDTF">2022-05-12T01:04:00Z</dcterms:modified>
</cp:coreProperties>
</file>