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E49B94" w14:textId="77777777" w:rsidR="00754818" w:rsidRPr="008224EE" w:rsidRDefault="00754818" w:rsidP="00754818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8224EE">
        <w:rPr>
          <w:rFonts w:asciiTheme="minorHAnsi" w:hAnsiTheme="minorHAnsi" w:cstheme="minorBidi"/>
          <w:b/>
          <w:bCs/>
          <w:sz w:val="28"/>
          <w:szCs w:val="28"/>
        </w:rPr>
        <w:t xml:space="preserve">Ao Juízo da </w:t>
      </w:r>
      <w:r w:rsidRPr="008224EE">
        <w:rPr>
          <w:rFonts w:asciiTheme="minorHAnsi" w:hAnsiTheme="minorHAnsi" w:cstheme="minorBidi"/>
          <w:sz w:val="28"/>
          <w:szCs w:val="28"/>
        </w:rPr>
        <w:t>____</w:t>
      </w:r>
      <w:r w:rsidRPr="008224EE">
        <w:rPr>
          <w:rFonts w:asciiTheme="minorHAnsi" w:hAnsiTheme="minorHAnsi" w:cstheme="minorBidi"/>
          <w:b/>
          <w:bCs/>
          <w:sz w:val="28"/>
          <w:szCs w:val="28"/>
        </w:rPr>
        <w:t xml:space="preserve">ª </w:t>
      </w:r>
      <w:r w:rsidRPr="008224EE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Vara </w:t>
      </w:r>
      <w:proofErr w:type="spellStart"/>
      <w:r w:rsidRPr="008224EE">
        <w:rPr>
          <w:rFonts w:asciiTheme="minorHAnsi" w:hAnsiTheme="minorHAnsi" w:cstheme="minorBidi"/>
          <w:b/>
          <w:bCs/>
          <w:sz w:val="28"/>
          <w:szCs w:val="28"/>
          <w:u w:val="single"/>
        </w:rPr>
        <w:t>Xxxxxxx</w:t>
      </w:r>
      <w:proofErr w:type="spellEnd"/>
      <w:r w:rsidRPr="008224EE">
        <w:rPr>
          <w:rFonts w:asciiTheme="minorHAnsi" w:hAnsiTheme="minorHAnsi" w:cstheme="minorBidi"/>
          <w:b/>
          <w:bCs/>
          <w:sz w:val="28"/>
          <w:szCs w:val="28"/>
        </w:rPr>
        <w:t xml:space="preserve"> da Comarca de XXXXXXX – </w:t>
      </w:r>
      <w:commentRangeStart w:id="0"/>
      <w:r w:rsidRPr="008224EE">
        <w:rPr>
          <w:rFonts w:asciiTheme="minorHAnsi" w:hAnsiTheme="minorHAnsi" w:cstheme="minorBidi"/>
          <w:b/>
          <w:bCs/>
          <w:sz w:val="28"/>
          <w:szCs w:val="28"/>
        </w:rPr>
        <w:t>MS</w:t>
      </w:r>
      <w:commentRangeEnd w:id="0"/>
      <w:r w:rsidRPr="008224EE">
        <w:commentReference w:id="0"/>
      </w:r>
      <w:r w:rsidRPr="008224EE">
        <w:rPr>
          <w:rFonts w:asciiTheme="minorHAnsi" w:hAnsiTheme="minorHAnsi" w:cstheme="minorBidi"/>
          <w:b/>
          <w:bCs/>
          <w:sz w:val="28"/>
          <w:szCs w:val="28"/>
        </w:rPr>
        <w:t>:</w:t>
      </w:r>
    </w:p>
    <w:p w14:paraId="0D316BBD" w14:textId="77777777" w:rsidR="00754818" w:rsidRPr="008224EE" w:rsidRDefault="00754818" w:rsidP="00754818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3BFEE596" w14:textId="77777777" w:rsidR="00754818" w:rsidRPr="008224EE" w:rsidRDefault="00754818" w:rsidP="00754818">
      <w:pPr>
        <w:spacing w:after="0" w:line="360" w:lineRule="auto"/>
        <w:jc w:val="center"/>
        <w:rPr>
          <w:rFonts w:asciiTheme="minorHAnsi" w:hAnsiTheme="minorHAnsi" w:cstheme="minorBidi"/>
          <w:sz w:val="16"/>
          <w:szCs w:val="16"/>
        </w:rPr>
      </w:pPr>
    </w:p>
    <w:p w14:paraId="3CBA809C" w14:textId="77777777" w:rsidR="00754818" w:rsidRPr="008224EE" w:rsidRDefault="00754818" w:rsidP="00754818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Bidi"/>
          <w:b/>
          <w:bCs/>
          <w:sz w:val="24"/>
          <w:szCs w:val="24"/>
          <w:lang w:val="pt-BR"/>
        </w:rPr>
      </w:pPr>
    </w:p>
    <w:p w14:paraId="59E4C7B2" w14:textId="77777777" w:rsidR="00754818" w:rsidRPr="008224EE" w:rsidRDefault="00754818" w:rsidP="00754818">
      <w:pPr>
        <w:spacing w:after="0" w:line="360" w:lineRule="auto"/>
        <w:jc w:val="center"/>
        <w:rPr>
          <w:rFonts w:asciiTheme="minorHAnsi" w:hAnsiTheme="minorHAnsi" w:cstheme="minorBidi"/>
          <w:sz w:val="16"/>
          <w:szCs w:val="16"/>
        </w:rPr>
      </w:pPr>
    </w:p>
    <w:p w14:paraId="38CDEE80" w14:textId="77777777" w:rsidR="00754818" w:rsidRPr="008224EE" w:rsidRDefault="00754818" w:rsidP="00754818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4F43817C" w14:textId="77777777" w:rsidR="00754818" w:rsidRPr="008224EE" w:rsidRDefault="00754818" w:rsidP="00754818">
      <w:pPr>
        <w:pStyle w:val="Corpodetexto"/>
        <w:spacing w:after="0" w:line="240" w:lineRule="auto"/>
        <w:ind w:left="-1701"/>
        <w:rPr>
          <w:rStyle w:val="label"/>
          <w:rFonts w:asciiTheme="minorHAnsi" w:eastAsia="Gulim" w:hAnsiTheme="minorHAnsi" w:cstheme="minorBidi"/>
          <w:b/>
          <w:bCs/>
          <w:sz w:val="24"/>
          <w:szCs w:val="24"/>
          <w:lang w:val="pt-BR"/>
        </w:rPr>
      </w:pPr>
      <w:r w:rsidRPr="008224EE">
        <w:rPr>
          <w:rStyle w:val="label"/>
          <w:rFonts w:asciiTheme="minorHAnsi" w:eastAsia="Gulim" w:hAnsiTheme="minorHAnsi" w:cstheme="minorBidi"/>
          <w:b/>
          <w:bCs/>
          <w:sz w:val="24"/>
          <w:szCs w:val="24"/>
          <w:highlight w:val="lightGray"/>
          <w:lang w:val="pt-BR"/>
        </w:rPr>
        <w:t xml:space="preserve">                                              JUÍZO 100% DIGITAL</w:t>
      </w:r>
    </w:p>
    <w:p w14:paraId="6BCB5BD8" w14:textId="77777777" w:rsidR="00754818" w:rsidRPr="008224EE" w:rsidRDefault="00754818" w:rsidP="00754818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Bidi"/>
          <w:b/>
          <w:bCs/>
          <w:sz w:val="24"/>
          <w:szCs w:val="24"/>
          <w:lang w:val="pt-BR"/>
        </w:rPr>
      </w:pPr>
    </w:p>
    <w:p w14:paraId="738F5996" w14:textId="77777777" w:rsidR="00754818" w:rsidRPr="008224EE" w:rsidRDefault="00754818" w:rsidP="00754818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5D6CD3E4" w14:textId="77777777" w:rsidR="00754818" w:rsidRPr="008224EE" w:rsidRDefault="00754818" w:rsidP="00754818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3309AA2B" w14:textId="77777777" w:rsidR="00754818" w:rsidRPr="008224EE" w:rsidRDefault="00754818" w:rsidP="00754818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14D21362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NOME COMPLETO, </w:t>
      </w:r>
      <w:commentRangeStart w:id="1"/>
      <w:r w:rsidRPr="008224EE">
        <w:rPr>
          <w:rFonts w:asciiTheme="minorHAnsi" w:hAnsiTheme="minorHAnsi" w:cstheme="minorBidi"/>
          <w:sz w:val="23"/>
          <w:szCs w:val="23"/>
        </w:rPr>
        <w:t>estado civil (solteiro, casado, viúvo, divorciado, separado judicialmente, convivente), profissão, CPF/MF nº XXX.XXX.XXX.-XX, RG nº XXXXX SSP/UF, com domicílio e residência na Rua XX, nº XXX, bairro XXX, Cidade-UF, CEP: XX.XXX-XXX, xxx@gmail.com</w:t>
      </w:r>
      <w:commentRangeEnd w:id="1"/>
      <w:r>
        <w:rPr>
          <w:rStyle w:val="Refdecomentrio"/>
        </w:rPr>
        <w:commentReference w:id="1"/>
      </w:r>
      <w:r w:rsidRPr="008224EE">
        <w:rPr>
          <w:rFonts w:asciiTheme="minorHAnsi" w:hAnsiTheme="minorHAnsi" w:cstheme="minorBidi"/>
          <w:sz w:val="23"/>
          <w:szCs w:val="23"/>
        </w:rPr>
        <w:t>, por seu Advogado</w:t>
      </w:r>
      <w:r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1"/>
      </w:r>
      <w:r w:rsidRPr="008224EE">
        <w:rPr>
          <w:rFonts w:asciiTheme="minorHAnsi" w:hAnsiTheme="minorHAnsi" w:cstheme="minorBidi"/>
          <w:sz w:val="23"/>
          <w:szCs w:val="23"/>
        </w:rPr>
        <w:t xml:space="preserve">, que receberá as intimações no seu escritório situado na </w:t>
      </w:r>
      <w:commentRangeStart w:id="2"/>
      <w:r w:rsidRPr="008224EE">
        <w:rPr>
          <w:rFonts w:asciiTheme="minorHAnsi" w:hAnsiTheme="minorHAnsi" w:cstheme="minorBidi"/>
          <w:sz w:val="23"/>
          <w:szCs w:val="23"/>
        </w:rPr>
        <w:t>Rua XX, nº XXX, bairro XXX, Cidade-UF, CEP: XX.XXX-XXX, xxx@adv.com</w:t>
      </w:r>
      <w:commentRangeEnd w:id="2"/>
      <w:r>
        <w:rPr>
          <w:rStyle w:val="Refdecomentrio"/>
        </w:rPr>
        <w:commentReference w:id="2"/>
      </w:r>
      <w:r w:rsidRPr="008224EE">
        <w:rPr>
          <w:rFonts w:asciiTheme="minorHAnsi" w:hAnsiTheme="minorHAnsi" w:cstheme="minorBidi"/>
          <w:sz w:val="23"/>
          <w:szCs w:val="23"/>
        </w:rPr>
        <w:t>, vem perante esse Juízo propor, na forma do art. 318 c/c art. 396 ss do CPC/2015)</w:t>
      </w:r>
    </w:p>
    <w:p w14:paraId="5A3E4F52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2375E9E3" w14:textId="77777777" w:rsidR="00754818" w:rsidRPr="008224EE" w:rsidRDefault="00754818" w:rsidP="00754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t>AÇÃO PROBATÓRIA AUTÔNOMA</w:t>
      </w:r>
    </w:p>
    <w:p w14:paraId="7D9A6EEC" w14:textId="77777777" w:rsidR="00754818" w:rsidRPr="008224EE" w:rsidRDefault="00754818" w:rsidP="00754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t>com pedido de exibição de documento</w:t>
      </w:r>
    </w:p>
    <w:p w14:paraId="289E3C30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5977B901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em desfavor de </w:t>
      </w:r>
      <w:commentRangeStart w:id="3"/>
      <w:r w:rsidRPr="008224EE">
        <w:rPr>
          <w:rFonts w:asciiTheme="minorHAnsi" w:hAnsiTheme="minorHAnsi" w:cstheme="minorBidi"/>
          <w:b/>
          <w:bCs/>
          <w:sz w:val="23"/>
          <w:szCs w:val="23"/>
        </w:rPr>
        <w:t>NOME COMPLETO DA PARTE RÉ</w:t>
      </w:r>
      <w:r w:rsidRPr="008224EE">
        <w:rPr>
          <w:rFonts w:asciiTheme="minorHAnsi" w:hAnsiTheme="minorHAnsi" w:cstheme="minorBidi"/>
          <w:sz w:val="23"/>
          <w:szCs w:val="23"/>
        </w:rPr>
        <w:t xml:space="preserve">, estado civil (solteiro, casado, viúvo, divorciado, separado judicialmente, convivente), profissão, CPF/MF nº XXX.XXX.XXX.-XX, RG nº XXXXX SSP/UF, com domicílio e residência na Rua XX, nº XXX, bairro XXX, Cidade-UF, CEP: XX.XXX-XXX, xxx@gmail.com </w:t>
      </w:r>
      <w:r w:rsidRPr="008224EE">
        <w:rPr>
          <w:rFonts w:asciiTheme="minorHAnsi" w:hAnsiTheme="minorHAnsi" w:cstheme="minorBidi"/>
          <w:sz w:val="23"/>
          <w:szCs w:val="23"/>
          <w:highlight w:val="yellow"/>
        </w:rPr>
        <w:t>OU</w:t>
      </w:r>
      <w:r w:rsidRPr="008224EE">
        <w:rPr>
          <w:rFonts w:asciiTheme="minorHAnsi" w:hAnsiTheme="minorHAnsi" w:cstheme="minorBidi"/>
          <w:sz w:val="23"/>
          <w:szCs w:val="23"/>
        </w:rPr>
        <w:t xml:space="preserve">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NOME DA SOCIEDADE EMPRESÁRIA</w:t>
      </w:r>
      <w:r w:rsidRPr="008224EE">
        <w:rPr>
          <w:rFonts w:asciiTheme="minorHAnsi" w:hAnsiTheme="minorHAnsi" w:cstheme="minorBidi"/>
          <w:sz w:val="23"/>
          <w:szCs w:val="23"/>
        </w:rPr>
        <w:t>, pessoa jurídica de direito privado, inscrita no CNPJ nº XX.XXX.XXX/XXXX-XX, com sede na Rua XX, nº XXX, bairro XXX, Cidade-UF, CEP: XX.XXX-XXX, xxx@gmail.com</w:t>
      </w:r>
      <w:commentRangeEnd w:id="3"/>
      <w:r w:rsidR="007173FD">
        <w:rPr>
          <w:rStyle w:val="Refdecomentrio"/>
        </w:rPr>
        <w:commentReference w:id="3"/>
      </w:r>
      <w:r w:rsidRPr="008224EE">
        <w:rPr>
          <w:rFonts w:asciiTheme="minorHAnsi" w:hAnsiTheme="minorHAnsi" w:cstheme="minorBidi"/>
          <w:sz w:val="23"/>
          <w:szCs w:val="23"/>
        </w:rPr>
        <w:t>, pelos fatos e fundamentos seguintes.</w:t>
      </w:r>
    </w:p>
    <w:p w14:paraId="610144B6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08B5E2CC" w14:textId="77777777" w:rsidR="00754818" w:rsidRPr="008224EE" w:rsidRDefault="00754818" w:rsidP="00754818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lastRenderedPageBreak/>
        <w:t>I – GRATUIDADE DE JUSTIÇA</w:t>
      </w:r>
    </w:p>
    <w:p w14:paraId="44CA5612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2154BF97" w14:textId="77777777" w:rsidR="00754818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A parte autora é pessoa economicamente necessitada, a ponto de não ser possível custear as despesas processuais sem que ocorra o prejuízo do seu sustento e de sua família. Isso porque sua renda mensal é de </w:t>
      </w:r>
      <w:commentRangeStart w:id="4"/>
      <w:r w:rsidRPr="008224EE">
        <w:rPr>
          <w:rFonts w:asciiTheme="minorHAnsi" w:hAnsiTheme="minorHAnsi" w:cstheme="minorBidi"/>
          <w:sz w:val="23"/>
          <w:szCs w:val="23"/>
        </w:rPr>
        <w:t xml:space="preserve">apenas </w:t>
      </w:r>
      <w:r w:rsidRPr="007173FD">
        <w:rPr>
          <w:rFonts w:asciiTheme="minorHAnsi" w:hAnsiTheme="minorHAnsi" w:cstheme="minorBidi"/>
          <w:color w:val="FF0000"/>
          <w:sz w:val="23"/>
          <w:szCs w:val="23"/>
        </w:rPr>
        <w:t xml:space="preserve">R$ ____ </w:t>
      </w:r>
      <w:r w:rsidRPr="008224EE">
        <w:rPr>
          <w:rFonts w:asciiTheme="minorHAnsi" w:hAnsiTheme="minorHAnsi" w:cstheme="minorBidi"/>
          <w:sz w:val="23"/>
          <w:szCs w:val="23"/>
        </w:rPr>
        <w:t>e seu cônjuge está atualmente desempregado,</w:t>
      </w:r>
      <w:commentRangeEnd w:id="4"/>
      <w:r w:rsidR="007173FD">
        <w:rPr>
          <w:rStyle w:val="Refdecomentrio"/>
        </w:rPr>
        <w:commentReference w:id="4"/>
      </w:r>
      <w:r w:rsidRPr="008224EE">
        <w:rPr>
          <w:rFonts w:asciiTheme="minorHAnsi" w:hAnsiTheme="minorHAnsi" w:cstheme="minorBidi"/>
          <w:sz w:val="23"/>
          <w:szCs w:val="23"/>
        </w:rPr>
        <w:t xml:space="preserve"> consoante comprovantes inclusos nesta exordial.</w:t>
      </w:r>
    </w:p>
    <w:p w14:paraId="4B46CF88" w14:textId="77777777" w:rsidR="00754818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76947FC7" w14:textId="77777777" w:rsidR="00754818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>
        <w:rPr>
          <w:rFonts w:asciiTheme="minorHAnsi" w:hAnsiTheme="minorHAnsi" w:cstheme="minorBidi"/>
          <w:sz w:val="23"/>
          <w:szCs w:val="23"/>
        </w:rPr>
        <w:t>A propósito, a situação da parte autora é de completo superendividamento, tanto que busca a presente documentação para ingressar com o processo de repactuação de dívidas na forma da Lei 14.181/2021.</w:t>
      </w:r>
    </w:p>
    <w:p w14:paraId="39F6DA4C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4E2169C1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Com efeito a imposição do pagamento das despesas processuais ao autor se transformará em verdadeira negativa de acesso à justiça.</w:t>
      </w:r>
    </w:p>
    <w:p w14:paraId="72E2EA46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0642857B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Assim, é imperiosa a concessão integral da gratuidade da justiça, em especial pela presunção estabelecida pelo art. 99, §3º, do CPC.</w:t>
      </w:r>
    </w:p>
    <w:p w14:paraId="41077183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559A8069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233D2379" w14:textId="77777777" w:rsidR="00754818" w:rsidRPr="008224EE" w:rsidRDefault="00754818" w:rsidP="00754818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t>II – FUNDAMENTOS FÁTICOS E JURÍDICOS DA EXIBIÇÃO</w:t>
      </w:r>
    </w:p>
    <w:p w14:paraId="7B869EF0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768C500D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Consoante predomina na jurisprudência do Superior Tribunal de Justiça</w:t>
      </w:r>
      <w:r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2"/>
      </w:r>
      <w:r w:rsidRPr="008224EE">
        <w:rPr>
          <w:rFonts w:asciiTheme="minorHAnsi" w:hAnsiTheme="minorHAnsi" w:cstheme="minorBidi"/>
          <w:sz w:val="23"/>
          <w:szCs w:val="23"/>
        </w:rPr>
        <w:t xml:space="preserve">, a pretensão de </w:t>
      </w:r>
      <w:r w:rsidRPr="007173FD">
        <w:rPr>
          <w:rFonts w:asciiTheme="minorHAnsi" w:hAnsiTheme="minorHAnsi" w:cstheme="minorBidi"/>
          <w:sz w:val="23"/>
          <w:szCs w:val="23"/>
          <w:u w:val="single"/>
        </w:rPr>
        <w:t>exibição de documentos deve ser reputada uma ação autônoma</w:t>
      </w:r>
      <w:r w:rsidRPr="008224EE">
        <w:rPr>
          <w:rFonts w:asciiTheme="minorHAnsi" w:hAnsiTheme="minorHAnsi" w:cstheme="minorBidi"/>
          <w:sz w:val="23"/>
          <w:szCs w:val="23"/>
        </w:rPr>
        <w:t xml:space="preserve"> que deve seguir o procedimento comum (art. 318, CPC), porém temperado pelas particularidades dos art. 396 e seguintes do Código de Processo Civil.</w:t>
      </w:r>
    </w:p>
    <w:p w14:paraId="7FE7EE17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7FA5F3CB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lastRenderedPageBreak/>
        <w:t>Nesse sentido, a partir da posição dominante na jurisprudência do STJ</w:t>
      </w:r>
      <w:r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3"/>
      </w:r>
      <w:r w:rsidRPr="008224EE">
        <w:rPr>
          <w:rFonts w:asciiTheme="minorHAnsi" w:hAnsiTheme="minorHAnsi" w:cstheme="minorBidi"/>
          <w:sz w:val="23"/>
          <w:szCs w:val="23"/>
        </w:rPr>
        <w:t xml:space="preserve"> e do art. 397 do CPC, compreende-se que a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 exibição de documentos tem cabimento</w:t>
      </w:r>
      <w:r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4"/>
      </w:r>
      <w:r w:rsidRPr="008224EE">
        <w:rPr>
          <w:rFonts w:asciiTheme="minorHAnsi" w:hAnsiTheme="minorHAnsi" w:cstheme="minorBidi"/>
          <w:sz w:val="23"/>
          <w:szCs w:val="23"/>
        </w:rPr>
        <w:t xml:space="preserve"> quando presente os seguintes elementos: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a) </w:t>
      </w:r>
      <w:r w:rsidRPr="008224EE">
        <w:rPr>
          <w:rFonts w:asciiTheme="minorHAnsi" w:hAnsiTheme="minorHAnsi" w:cstheme="minorBidi"/>
          <w:sz w:val="23"/>
          <w:szCs w:val="23"/>
        </w:rPr>
        <w:t xml:space="preserve">existência de relação jurídica entre as partes;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b)</w:t>
      </w:r>
      <w:r w:rsidRPr="008224EE">
        <w:rPr>
          <w:rFonts w:asciiTheme="minorHAnsi" w:hAnsiTheme="minorHAnsi" w:cstheme="minorBidi"/>
          <w:sz w:val="23"/>
          <w:szCs w:val="23"/>
        </w:rPr>
        <w:t xml:space="preserve"> prova de que houve prévio pedido extrajudicial;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c)</w:t>
      </w:r>
      <w:r w:rsidRPr="008224EE">
        <w:rPr>
          <w:rFonts w:asciiTheme="minorHAnsi" w:hAnsiTheme="minorHAnsi" w:cstheme="minorBidi"/>
          <w:sz w:val="23"/>
          <w:szCs w:val="23"/>
        </w:rPr>
        <w:t xml:space="preserve"> negativa ou omissão no fornecimento do documento em prazo razoável;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d)</w:t>
      </w:r>
      <w:r w:rsidRPr="008224EE">
        <w:rPr>
          <w:rFonts w:asciiTheme="minorHAnsi" w:hAnsiTheme="minorHAnsi" w:cstheme="minorBidi"/>
          <w:sz w:val="23"/>
          <w:szCs w:val="23"/>
        </w:rPr>
        <w:t xml:space="preserve"> pagamento de eventual custo do serviço, se houver custo.</w:t>
      </w:r>
    </w:p>
    <w:p w14:paraId="1C86B44D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76BFA3B1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Muito bem.</w:t>
      </w:r>
    </w:p>
    <w:p w14:paraId="30F7C692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sz w:val="23"/>
          <w:szCs w:val="23"/>
        </w:rPr>
      </w:pPr>
    </w:p>
    <w:p w14:paraId="2C899FE3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No caso objeto desta inicial, a parte demandante possui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vínculo jurídico</w:t>
      </w:r>
      <w:r w:rsidRPr="008224EE">
        <w:rPr>
          <w:rFonts w:asciiTheme="minorHAnsi" w:hAnsiTheme="minorHAnsi" w:cstheme="minorBidi"/>
          <w:sz w:val="23"/>
          <w:szCs w:val="23"/>
        </w:rPr>
        <w:t xml:space="preserve"> com a parte demandada em razão de um </w:t>
      </w:r>
      <w:commentRangeStart w:id="5"/>
      <w:r w:rsidRPr="008224EE">
        <w:rPr>
          <w:rFonts w:asciiTheme="minorHAnsi" w:hAnsiTheme="minorHAnsi" w:cstheme="minorBidi"/>
          <w:sz w:val="23"/>
          <w:szCs w:val="23"/>
          <w:u w:val="single"/>
        </w:rPr>
        <w:t>contrato de empréstimo pessoal</w:t>
      </w:r>
      <w:r w:rsidRPr="008224EE">
        <w:rPr>
          <w:rFonts w:asciiTheme="minorHAnsi" w:hAnsiTheme="minorHAnsi" w:cstheme="minorBidi"/>
          <w:sz w:val="23"/>
          <w:szCs w:val="23"/>
        </w:rPr>
        <w:t xml:space="preserve"> (nº XXXXX), celebrado no mês de abril de 2020, no valor de R$ </w:t>
      </w:r>
      <w:proofErr w:type="gramStart"/>
      <w:r w:rsidRPr="008224EE">
        <w:rPr>
          <w:rFonts w:asciiTheme="minorHAnsi" w:hAnsiTheme="minorHAnsi" w:cstheme="minorBidi"/>
          <w:sz w:val="23"/>
          <w:szCs w:val="23"/>
        </w:rPr>
        <w:t>XXXX,XX</w:t>
      </w:r>
      <w:proofErr w:type="gramEnd"/>
      <w:r w:rsidRPr="008224EE">
        <w:rPr>
          <w:rFonts w:asciiTheme="minorHAnsi" w:hAnsiTheme="minorHAnsi" w:cstheme="minorBidi"/>
          <w:sz w:val="23"/>
          <w:szCs w:val="23"/>
        </w:rPr>
        <w:t>, que será pago em 48 parcelas de R$ XXXX,XX (v. Doc 01).</w:t>
      </w:r>
      <w:commentRangeEnd w:id="5"/>
      <w:r w:rsidR="007173FD">
        <w:rPr>
          <w:rStyle w:val="Refdecomentrio"/>
        </w:rPr>
        <w:commentReference w:id="5"/>
      </w:r>
    </w:p>
    <w:p w14:paraId="36C7A0EE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sz w:val="23"/>
          <w:szCs w:val="23"/>
        </w:rPr>
      </w:pPr>
    </w:p>
    <w:p w14:paraId="23759FA8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A parte demandante, apesar de possuir o direito de receber uma cópia do contrato (art. 46 c/c art. 54-G, II, CDC), </w:t>
      </w:r>
      <w:r w:rsidRPr="008224EE">
        <w:rPr>
          <w:rFonts w:asciiTheme="minorHAnsi" w:hAnsiTheme="minorHAnsi" w:cstheme="minorBidi"/>
          <w:sz w:val="23"/>
          <w:szCs w:val="23"/>
          <w:u w:val="single"/>
        </w:rPr>
        <w:t>não recebeu o documento</w:t>
      </w:r>
      <w:r w:rsidRPr="008224EE">
        <w:rPr>
          <w:rFonts w:asciiTheme="minorHAnsi" w:hAnsiTheme="minorHAnsi" w:cstheme="minorBidi"/>
          <w:sz w:val="23"/>
          <w:szCs w:val="23"/>
        </w:rPr>
        <w:t xml:space="preserve"> quando o contrato foi celebrado.</w:t>
      </w:r>
    </w:p>
    <w:p w14:paraId="727AB7A9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sz w:val="23"/>
          <w:szCs w:val="23"/>
        </w:rPr>
      </w:pPr>
    </w:p>
    <w:p w14:paraId="68E4C11C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No dia </w:t>
      </w:r>
      <w:commentRangeStart w:id="6"/>
      <w:r w:rsidRPr="008224EE">
        <w:rPr>
          <w:rFonts w:asciiTheme="minorHAnsi" w:hAnsiTheme="minorHAnsi" w:cstheme="minorBidi"/>
          <w:sz w:val="23"/>
          <w:szCs w:val="23"/>
        </w:rPr>
        <w:t>___/___/___</w:t>
      </w:r>
      <w:commentRangeEnd w:id="6"/>
      <w:r w:rsidR="00FE4207">
        <w:rPr>
          <w:rStyle w:val="Refdecomentrio"/>
        </w:rPr>
        <w:commentReference w:id="6"/>
      </w:r>
      <w:r w:rsidRPr="008224EE">
        <w:rPr>
          <w:rFonts w:asciiTheme="minorHAnsi" w:hAnsiTheme="minorHAnsi" w:cstheme="minorBidi"/>
          <w:sz w:val="23"/>
          <w:szCs w:val="23"/>
        </w:rPr>
        <w:t xml:space="preserve">, a parte demandante solicitou formalmente a cópia do documento (v. Doc 02), porém a </w:t>
      </w:r>
      <w:r w:rsidRPr="008224EE">
        <w:rPr>
          <w:rFonts w:asciiTheme="minorHAnsi" w:hAnsiTheme="minorHAnsi" w:cstheme="minorBidi"/>
          <w:sz w:val="23"/>
          <w:szCs w:val="23"/>
          <w:u w:val="single"/>
        </w:rPr>
        <w:t xml:space="preserve">demandada </w:t>
      </w:r>
      <w:commentRangeStart w:id="7"/>
      <w:r w:rsidRPr="008224EE">
        <w:rPr>
          <w:rFonts w:asciiTheme="minorHAnsi" w:hAnsiTheme="minorHAnsi" w:cstheme="minorBidi"/>
          <w:sz w:val="23"/>
          <w:szCs w:val="23"/>
          <w:u w:val="single"/>
        </w:rPr>
        <w:t>até o presente momento não respondeu</w:t>
      </w:r>
      <w:r w:rsidRPr="008224EE">
        <w:rPr>
          <w:rFonts w:asciiTheme="minorHAnsi" w:hAnsiTheme="minorHAnsi" w:cstheme="minorBidi"/>
          <w:sz w:val="23"/>
          <w:szCs w:val="23"/>
        </w:rPr>
        <w:t xml:space="preserve"> </w:t>
      </w:r>
      <w:commentRangeEnd w:id="7"/>
      <w:r w:rsidR="00A44B6C">
        <w:rPr>
          <w:rStyle w:val="Refdecomentrio"/>
        </w:rPr>
        <w:commentReference w:id="7"/>
      </w:r>
      <w:r w:rsidRPr="008224EE">
        <w:rPr>
          <w:rFonts w:asciiTheme="minorHAnsi" w:hAnsiTheme="minorHAnsi" w:cstheme="minorBidi"/>
          <w:sz w:val="23"/>
          <w:szCs w:val="23"/>
        </w:rPr>
        <w:t>à solicitação.</w:t>
      </w:r>
    </w:p>
    <w:p w14:paraId="2AD12C9C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sz w:val="23"/>
          <w:szCs w:val="23"/>
        </w:rPr>
      </w:pPr>
    </w:p>
    <w:p w14:paraId="35A9238E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lastRenderedPageBreak/>
        <w:t xml:space="preserve">Frisa-se que se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passaram mais de 10 (dez) dias úteis</w:t>
      </w:r>
      <w:r w:rsidRPr="008224EE">
        <w:rPr>
          <w:rFonts w:asciiTheme="minorHAnsi" w:hAnsiTheme="minorHAnsi" w:cstheme="minorBidi"/>
          <w:sz w:val="23"/>
          <w:szCs w:val="23"/>
        </w:rPr>
        <w:t xml:space="preserve"> da solicitação, tempo mais do que razoável para que a demandada fornecesse a documento, mas assim não fez.</w:t>
      </w:r>
    </w:p>
    <w:p w14:paraId="34C5D1FB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24156A65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commentRangeStart w:id="8"/>
      <w:commentRangeStart w:id="9"/>
      <w:r w:rsidRPr="008224EE">
        <w:rPr>
          <w:rFonts w:asciiTheme="minorHAnsi" w:hAnsiTheme="minorHAnsi" w:cstheme="minorBidi"/>
          <w:sz w:val="23"/>
          <w:szCs w:val="23"/>
        </w:rPr>
        <w:t>Enfim, quanto ao pagamento pelo fornecimento do documento, não é possível a cobrança neste caso, porque as cédulas de crédito bancário são regulamentadas pela Lei 10.931/04, a qual prevê que o tomador do crédito possui o direito expresso a uma via do contrato.</w:t>
      </w:r>
      <w:r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5"/>
      </w:r>
      <w:r w:rsidRPr="008224EE">
        <w:rPr>
          <w:rFonts w:asciiTheme="minorHAnsi" w:hAnsiTheme="minorHAnsi" w:cstheme="minorBidi"/>
          <w:sz w:val="23"/>
          <w:szCs w:val="23"/>
        </w:rPr>
        <w:t xml:space="preserve"> Com efeito, não há se falar em pagamento por emissão de segunda via do contrato quanto não foi recebida a primeira.</w:t>
      </w:r>
      <w:commentRangeEnd w:id="8"/>
      <w:r w:rsidR="00982440">
        <w:rPr>
          <w:rStyle w:val="Refdecomentrio"/>
        </w:rPr>
        <w:commentReference w:id="8"/>
      </w:r>
      <w:commentRangeEnd w:id="9"/>
      <w:r w:rsidR="007B1BAD">
        <w:rPr>
          <w:rStyle w:val="Refdecomentrio"/>
        </w:rPr>
        <w:commentReference w:id="9"/>
      </w:r>
    </w:p>
    <w:p w14:paraId="649F60DB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 </w:t>
      </w:r>
    </w:p>
    <w:p w14:paraId="5153AC4A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Dessa forma, tem-se como preenchidos todos os pressupostos essenciais para que seja acolhida a pretensão de exibição de documento pela parte demandada.</w:t>
      </w:r>
    </w:p>
    <w:p w14:paraId="120580F5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</w:pPr>
    </w:p>
    <w:p w14:paraId="7830E3F5" w14:textId="77777777" w:rsidR="00754818" w:rsidRPr="008224EE" w:rsidRDefault="00754818" w:rsidP="00754818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t>III – REQUERIMENTOS E PEDIDOS</w:t>
      </w:r>
    </w:p>
    <w:p w14:paraId="06A62D9C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0307A09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Ante o exposto, requer-se seja recebida a presente demanda, com o acolhimento integral dos seguintes requerimentos e pedidos:</w:t>
      </w:r>
    </w:p>
    <w:p w14:paraId="4EC6863B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3"/>
          <w:szCs w:val="23"/>
        </w:rPr>
      </w:pPr>
    </w:p>
    <w:p w14:paraId="311872E8" w14:textId="77777777" w:rsidR="00754818" w:rsidRPr="008224EE" w:rsidRDefault="00754818" w:rsidP="00754818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b/>
          <w:bCs/>
          <w:sz w:val="23"/>
          <w:szCs w:val="23"/>
        </w:rPr>
        <w:t>a concessão</w:t>
      </w:r>
      <w:r w:rsidRPr="008224EE">
        <w:rPr>
          <w:rFonts w:asciiTheme="minorHAnsi" w:hAnsiTheme="minorHAnsi" w:cstheme="minorBidi"/>
          <w:sz w:val="23"/>
          <w:szCs w:val="23"/>
        </w:rPr>
        <w:t xml:space="preserve">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dos benefícios da </w:t>
      </w:r>
      <w:r w:rsidRPr="008224EE">
        <w:rPr>
          <w:rFonts w:asciiTheme="minorHAnsi" w:hAnsiTheme="minorHAnsi" w:cstheme="minorBidi"/>
          <w:b/>
          <w:bCs/>
          <w:sz w:val="23"/>
          <w:szCs w:val="23"/>
          <w:u w:val="single"/>
        </w:rPr>
        <w:t>justiça gratuita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, </w:t>
      </w:r>
      <w:r w:rsidRPr="008224EE">
        <w:rPr>
          <w:rFonts w:asciiTheme="minorHAnsi" w:hAnsiTheme="minorHAnsi" w:cstheme="minorBidi"/>
          <w:sz w:val="23"/>
          <w:szCs w:val="23"/>
        </w:rPr>
        <w:t xml:space="preserve">diante da declaração de hipossuficiência anexa (arts. 98 e 99, CPC); </w:t>
      </w:r>
    </w:p>
    <w:p w14:paraId="11FCF039" w14:textId="77777777" w:rsidR="00754818" w:rsidRPr="008224EE" w:rsidRDefault="00754818" w:rsidP="00754818">
      <w:pPr>
        <w:pStyle w:val="PargrafodaLista"/>
        <w:spacing w:after="0" w:line="360" w:lineRule="auto"/>
        <w:ind w:left="1985"/>
        <w:jc w:val="both"/>
        <w:rPr>
          <w:rFonts w:asciiTheme="minorHAnsi" w:hAnsiTheme="minorHAnsi" w:cstheme="minorHAnsi"/>
          <w:sz w:val="23"/>
          <w:szCs w:val="23"/>
        </w:rPr>
      </w:pPr>
    </w:p>
    <w:p w14:paraId="2F986831" w14:textId="77777777" w:rsidR="00754818" w:rsidRPr="008224EE" w:rsidRDefault="00754818" w:rsidP="00754818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eastAsiaTheme="minorEastAsia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Seja dispensada a realização de audiência de conciliação, porquanto incompatível com o procedimento diferenciado da exibição de documento;</w:t>
      </w:r>
    </w:p>
    <w:p w14:paraId="04E1DD19" w14:textId="77777777" w:rsidR="00754818" w:rsidRPr="008224EE" w:rsidRDefault="00754818" w:rsidP="00754818">
      <w:pPr>
        <w:spacing w:after="0" w:line="360" w:lineRule="auto"/>
        <w:ind w:left="1625"/>
        <w:jc w:val="both"/>
        <w:rPr>
          <w:sz w:val="23"/>
          <w:szCs w:val="23"/>
        </w:rPr>
      </w:pPr>
    </w:p>
    <w:p w14:paraId="67EBAB85" w14:textId="77777777" w:rsidR="00754818" w:rsidRPr="008224EE" w:rsidRDefault="00754818" w:rsidP="00754818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sz w:val="23"/>
          <w:szCs w:val="23"/>
        </w:rPr>
      </w:pPr>
      <w:r w:rsidRPr="008224EE">
        <w:rPr>
          <w:rFonts w:cs="Calibri"/>
          <w:sz w:val="23"/>
          <w:szCs w:val="23"/>
        </w:rPr>
        <w:t>seja implantado o</w:t>
      </w:r>
      <w:r w:rsidRPr="008224EE">
        <w:rPr>
          <w:rFonts w:cs="Calibri"/>
          <w:b/>
          <w:bCs/>
          <w:sz w:val="23"/>
          <w:szCs w:val="23"/>
        </w:rPr>
        <w:t xml:space="preserve"> JUÍZO 100% DIGITAL</w:t>
      </w:r>
      <w:r w:rsidRPr="008224EE">
        <w:rPr>
          <w:rFonts w:cs="Calibri"/>
          <w:sz w:val="23"/>
          <w:szCs w:val="23"/>
        </w:rPr>
        <w:t xml:space="preserve"> neste feito, na forma da Resolução CNJ nº 345/2020;</w:t>
      </w:r>
    </w:p>
    <w:p w14:paraId="57200A4C" w14:textId="77777777" w:rsidR="00754818" w:rsidRPr="008224EE" w:rsidRDefault="00754818" w:rsidP="00754818">
      <w:pPr>
        <w:spacing w:after="0" w:line="360" w:lineRule="auto"/>
        <w:ind w:left="1625"/>
        <w:jc w:val="both"/>
        <w:rPr>
          <w:sz w:val="23"/>
          <w:szCs w:val="23"/>
        </w:rPr>
      </w:pPr>
    </w:p>
    <w:p w14:paraId="0337DE8E" w14:textId="77777777" w:rsidR="00754818" w:rsidRPr="008224EE" w:rsidRDefault="00754818" w:rsidP="00754818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eastAsiaTheme="minorEastAsia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lastRenderedPageBreak/>
        <w:t xml:space="preserve">a </w:t>
      </w:r>
      <w:r w:rsidRPr="008224EE">
        <w:rPr>
          <w:rFonts w:asciiTheme="minorHAnsi" w:hAnsiTheme="minorHAnsi" w:cstheme="minorBidi"/>
          <w:sz w:val="23"/>
          <w:szCs w:val="23"/>
          <w:u w:val="single"/>
        </w:rPr>
        <w:t>citação</w:t>
      </w:r>
      <w:r w:rsidRPr="008224EE">
        <w:rPr>
          <w:rFonts w:asciiTheme="minorHAnsi" w:hAnsiTheme="minorHAnsi" w:cstheme="minorBidi"/>
          <w:sz w:val="23"/>
          <w:szCs w:val="23"/>
        </w:rPr>
        <w:t xml:space="preserve"> da parte demandada, </w:t>
      </w:r>
      <w:r w:rsidRPr="008224EE">
        <w:rPr>
          <w:rFonts w:cs="Calibri"/>
          <w:b/>
          <w:bCs/>
          <w:sz w:val="23"/>
          <w:szCs w:val="23"/>
          <w:u w:val="single"/>
        </w:rPr>
        <w:t xml:space="preserve">por meio do eletrônico </w:t>
      </w:r>
      <w:r w:rsidRPr="008224EE">
        <w:rPr>
          <w:rFonts w:cs="Calibri"/>
          <w:sz w:val="23"/>
          <w:szCs w:val="23"/>
        </w:rPr>
        <w:t>(art. 246, CPC c/c art. 2º, parágrafo único, Resolução CNJ nº 345/2020)</w:t>
      </w:r>
      <w:r w:rsidRPr="008224EE">
        <w:rPr>
          <w:rFonts w:cs="Calibri"/>
          <w:sz w:val="23"/>
          <w:szCs w:val="23"/>
          <w:u w:val="single"/>
        </w:rPr>
        <w:t xml:space="preserve"> </w:t>
      </w:r>
      <w:r w:rsidRPr="008224EE">
        <w:rPr>
          <w:rFonts w:cs="Calibri"/>
          <w:b/>
          <w:bCs/>
          <w:sz w:val="23"/>
          <w:szCs w:val="23"/>
          <w:u w:val="single"/>
        </w:rPr>
        <w:t>ou por correios</w:t>
      </w:r>
      <w:r w:rsidRPr="008224EE">
        <w:rPr>
          <w:rFonts w:cs="Calibri"/>
          <w:sz w:val="23"/>
          <w:szCs w:val="23"/>
        </w:rPr>
        <w:t>, caso não seja possível a primeira, para apresentar resposta no prazo de 5 (cinco) dias úteis, conforme preconiza o art. 398 do CPC;</w:t>
      </w:r>
    </w:p>
    <w:p w14:paraId="11619201" w14:textId="77777777" w:rsidR="00754818" w:rsidRPr="008224EE" w:rsidRDefault="00754818" w:rsidP="00754818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cs="Calibri"/>
          <w:sz w:val="23"/>
          <w:szCs w:val="23"/>
        </w:rPr>
      </w:pPr>
      <w:r w:rsidRPr="008224EE">
        <w:rPr>
          <w:sz w:val="23"/>
          <w:szCs w:val="23"/>
        </w:rPr>
        <w:t xml:space="preserve">Ao final, seja </w:t>
      </w:r>
      <w:r w:rsidRPr="008224EE">
        <w:rPr>
          <w:b/>
          <w:bCs/>
          <w:sz w:val="23"/>
          <w:szCs w:val="23"/>
        </w:rPr>
        <w:t>julgado procedente o pedido</w:t>
      </w:r>
      <w:r w:rsidRPr="008224EE">
        <w:rPr>
          <w:sz w:val="23"/>
          <w:szCs w:val="23"/>
        </w:rPr>
        <w:t xml:space="preserve"> para compelir a parte demandada a promover a imediata exibição do contrato </w:t>
      </w:r>
      <w:commentRangeStart w:id="10"/>
      <w:r w:rsidRPr="008224EE">
        <w:rPr>
          <w:sz w:val="23"/>
          <w:szCs w:val="23"/>
        </w:rPr>
        <w:t>XXXXX (descrever detalhadamente o documento)</w:t>
      </w:r>
      <w:commentRangeEnd w:id="10"/>
      <w:r w:rsidR="007B1BAD">
        <w:rPr>
          <w:rStyle w:val="Refdecomentrio"/>
        </w:rPr>
        <w:commentReference w:id="10"/>
      </w:r>
      <w:r w:rsidRPr="008224EE">
        <w:rPr>
          <w:sz w:val="23"/>
          <w:szCs w:val="23"/>
        </w:rPr>
        <w:t>, sob pena de se reputar como verdadeiros os fatos relativos à contratação, sem prejuízo da fixação de multa decorrente do art. 403 do CPC;</w:t>
      </w:r>
      <w:r w:rsidRPr="008224EE">
        <w:rPr>
          <w:rStyle w:val="Refdenotaderodap"/>
          <w:sz w:val="23"/>
          <w:szCs w:val="23"/>
        </w:rPr>
        <w:footnoteReference w:id="6"/>
      </w:r>
    </w:p>
    <w:p w14:paraId="672AEE7B" w14:textId="77777777" w:rsidR="00754818" w:rsidRPr="008224EE" w:rsidRDefault="00754818" w:rsidP="00754818">
      <w:pPr>
        <w:spacing w:after="0" w:line="360" w:lineRule="auto"/>
        <w:ind w:left="1625"/>
        <w:jc w:val="both"/>
        <w:rPr>
          <w:sz w:val="23"/>
          <w:szCs w:val="23"/>
        </w:rPr>
      </w:pPr>
    </w:p>
    <w:p w14:paraId="750BC56A" w14:textId="77777777" w:rsidR="00754818" w:rsidRPr="008224EE" w:rsidRDefault="00754818" w:rsidP="00754818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sz w:val="23"/>
          <w:szCs w:val="23"/>
        </w:rPr>
      </w:pPr>
      <w:r w:rsidRPr="008224EE">
        <w:rPr>
          <w:rFonts w:cs="Calibri"/>
          <w:b/>
          <w:bCs/>
          <w:sz w:val="23"/>
          <w:szCs w:val="23"/>
        </w:rPr>
        <w:t xml:space="preserve"> </w:t>
      </w:r>
      <w:commentRangeStart w:id="11"/>
      <w:r w:rsidRPr="008224EE">
        <w:rPr>
          <w:rFonts w:cs="Calibri"/>
          <w:b/>
          <w:bCs/>
          <w:sz w:val="23"/>
          <w:szCs w:val="23"/>
        </w:rPr>
        <w:t xml:space="preserve">Condenar </w:t>
      </w:r>
      <w:r w:rsidRPr="008224EE">
        <w:rPr>
          <w:rFonts w:cs="Calibri"/>
          <w:sz w:val="23"/>
          <w:szCs w:val="23"/>
        </w:rPr>
        <w:t xml:space="preserve">a parte demandada ao </w:t>
      </w:r>
      <w:r w:rsidRPr="008224EE">
        <w:rPr>
          <w:rFonts w:cs="Calibri"/>
          <w:sz w:val="23"/>
          <w:szCs w:val="23"/>
          <w:u w:val="single"/>
        </w:rPr>
        <w:t>pagamento das despesas processuais (art. 82, §2º, CPC) e honorários advocatícios (art. 85, CPC)</w:t>
      </w:r>
      <w:r w:rsidRPr="008224EE">
        <w:rPr>
          <w:rFonts w:cs="Calibri"/>
          <w:sz w:val="23"/>
          <w:szCs w:val="23"/>
        </w:rPr>
        <w:t>, estes no patamar de 20% do valor da condenação ou da causa, em favor do advogado do autor;</w:t>
      </w:r>
      <w:commentRangeEnd w:id="11"/>
      <w:r w:rsidR="00167CB2">
        <w:rPr>
          <w:rStyle w:val="Refdecomentrio"/>
        </w:rPr>
        <w:commentReference w:id="11"/>
      </w:r>
    </w:p>
    <w:p w14:paraId="5FA16074" w14:textId="77777777" w:rsidR="00754818" w:rsidRPr="008224EE" w:rsidRDefault="00754818" w:rsidP="00754818">
      <w:pPr>
        <w:spacing w:after="0" w:line="360" w:lineRule="auto"/>
        <w:ind w:left="1625"/>
        <w:jc w:val="both"/>
        <w:rPr>
          <w:sz w:val="23"/>
          <w:szCs w:val="23"/>
        </w:rPr>
      </w:pPr>
    </w:p>
    <w:p w14:paraId="4CFE202D" w14:textId="77777777" w:rsidR="00754818" w:rsidRPr="008224EE" w:rsidRDefault="00754818" w:rsidP="00754818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 Seja deferida a </w:t>
      </w:r>
      <w:r w:rsidRPr="008224EE">
        <w:rPr>
          <w:rFonts w:asciiTheme="minorHAnsi" w:hAnsiTheme="minorHAnsi" w:cstheme="minorBidi"/>
          <w:sz w:val="23"/>
          <w:szCs w:val="23"/>
          <w:u w:val="single"/>
        </w:rPr>
        <w:t>produção de todos os meios de prova</w:t>
      </w:r>
      <w:r w:rsidRPr="008224EE">
        <w:rPr>
          <w:rFonts w:asciiTheme="minorHAnsi" w:hAnsiTheme="minorHAnsi" w:cstheme="minorBidi"/>
          <w:sz w:val="23"/>
          <w:szCs w:val="23"/>
        </w:rPr>
        <w:t xml:space="preserve"> admitidos (legal ou moralmente), em especial a juntada de documentos, a inspeção judicial, o depoimento pessoal do demandado, oitiva de testemunhas (rol abaixo) e provas técnicas etc.</w:t>
      </w:r>
    </w:p>
    <w:p w14:paraId="4C25369D" w14:textId="77777777" w:rsidR="00754818" w:rsidRPr="008224EE" w:rsidRDefault="00754818" w:rsidP="00754818">
      <w:pPr>
        <w:spacing w:after="0"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4AACFDD3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Dá-se à causa o valor de R$ 1.212,00 (mil duzentos e doze reais), com fundamento no artigo 291 do CPC, haja vista não ter conteúdo econômico aferível. </w:t>
      </w:r>
    </w:p>
    <w:p w14:paraId="69926ADB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3"/>
          <w:szCs w:val="23"/>
        </w:rPr>
      </w:pPr>
    </w:p>
    <w:p w14:paraId="311A4048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3"/>
          <w:szCs w:val="23"/>
        </w:rPr>
      </w:pPr>
      <w:r w:rsidRPr="008224EE">
        <w:rPr>
          <w:rFonts w:asciiTheme="minorHAnsi" w:hAnsiTheme="minorHAnsi" w:cstheme="minorHAnsi"/>
          <w:sz w:val="23"/>
          <w:szCs w:val="23"/>
        </w:rPr>
        <w:t>Pede deferimento.</w:t>
      </w:r>
    </w:p>
    <w:p w14:paraId="5720D323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150BC69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224EE">
        <w:rPr>
          <w:rFonts w:asciiTheme="minorHAnsi" w:hAnsiTheme="minorHAnsi" w:cstheme="minorHAnsi"/>
          <w:sz w:val="24"/>
          <w:szCs w:val="24"/>
        </w:rPr>
        <w:t xml:space="preserve">CIDADE–UF, </w:t>
      </w:r>
      <w:r w:rsidRPr="008224EE">
        <w:rPr>
          <w:rFonts w:asciiTheme="minorHAnsi" w:hAnsiTheme="minorHAnsi" w:cstheme="minorHAnsi"/>
          <w:sz w:val="24"/>
          <w:szCs w:val="24"/>
        </w:rPr>
        <w:fldChar w:fldCharType="begin"/>
      </w:r>
      <w:r w:rsidRPr="008224EE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Pr="008224EE"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</w:rPr>
        <w:t>26 de junho de 2022</w:t>
      </w:r>
      <w:r w:rsidRPr="008224EE">
        <w:rPr>
          <w:rFonts w:asciiTheme="minorHAnsi" w:hAnsiTheme="minorHAnsi" w:cstheme="minorHAnsi"/>
          <w:sz w:val="24"/>
          <w:szCs w:val="24"/>
        </w:rPr>
        <w:fldChar w:fldCharType="end"/>
      </w:r>
      <w:r w:rsidRPr="008224EE">
        <w:rPr>
          <w:rFonts w:asciiTheme="minorHAnsi" w:hAnsiTheme="minorHAnsi" w:cstheme="minorHAnsi"/>
          <w:sz w:val="24"/>
          <w:szCs w:val="24"/>
        </w:rPr>
        <w:t>.</w:t>
      </w:r>
    </w:p>
    <w:p w14:paraId="3158C1B1" w14:textId="77777777" w:rsidR="00754818" w:rsidRPr="008224EE" w:rsidRDefault="00754818" w:rsidP="00754818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50B69F6" w14:textId="77777777" w:rsidR="00754818" w:rsidRPr="008224EE" w:rsidRDefault="00754818" w:rsidP="00754818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8224EE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11ECC0DC" w14:textId="77777777" w:rsidR="00754818" w:rsidRPr="008224EE" w:rsidRDefault="00754818" w:rsidP="00754818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8224EE">
        <w:rPr>
          <w:rFonts w:asciiTheme="minorHAnsi" w:hAnsiTheme="minorHAnsi" w:cstheme="minorHAnsi"/>
          <w:sz w:val="22"/>
          <w:szCs w:val="26"/>
        </w:rPr>
        <w:t>Advogad@</w:t>
      </w:r>
    </w:p>
    <w:sectPr w:rsidR="00754818" w:rsidRPr="008224EE" w:rsidSect="00973569">
      <w:headerReference w:type="default" r:id="rId12"/>
      <w:footerReference w:type="default" r:id="rId13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3-30T23:53:00Z" w:initials="HM">
    <w:p w14:paraId="61869965" w14:textId="77777777" w:rsidR="00754818" w:rsidRDefault="00754818" w:rsidP="00754818">
      <w:pPr>
        <w:pStyle w:val="Textodecomentrio"/>
      </w:pPr>
      <w:r>
        <w:rPr>
          <w:rStyle w:val="Refdecomentrio"/>
        </w:rPr>
        <w:annotationRef/>
      </w:r>
      <w:r>
        <w:t>Compreende-se que a competência do Juízo é fixada pelo art. 381, §2º do CPC</w:t>
      </w:r>
      <w:r>
        <w:br/>
        <w:t>- local onde a prova deve ser produzida;</w:t>
      </w:r>
    </w:p>
    <w:p w14:paraId="03B796A1" w14:textId="77777777" w:rsidR="00754818" w:rsidRDefault="00754818" w:rsidP="00754818">
      <w:pPr>
        <w:pStyle w:val="Textodecomentrio"/>
      </w:pPr>
      <w:r>
        <w:t xml:space="preserve">- domicílio do réu. </w:t>
      </w:r>
      <w:r>
        <w:br/>
      </w:r>
    </w:p>
    <w:p w14:paraId="351A5749" w14:textId="77777777" w:rsidR="00754818" w:rsidRDefault="00754818" w:rsidP="00754818">
      <w:pPr>
        <w:pStyle w:val="Textodecomentrio"/>
      </w:pPr>
      <w:r>
        <w:t>Além disso, tem-se que a Vara para a qual a ação foi distribuída não fica preventa para a ação principal, caso seja manejada. Veja-se:</w:t>
      </w:r>
    </w:p>
    <w:p w14:paraId="4E935938" w14:textId="77777777" w:rsidR="00754818" w:rsidRDefault="00754818" w:rsidP="00754818">
      <w:pPr>
        <w:pStyle w:val="Textodecomentrio"/>
      </w:pPr>
    </w:p>
    <w:p w14:paraId="05D2A10C" w14:textId="77777777" w:rsidR="00754818" w:rsidRDefault="00754818" w:rsidP="00754818">
      <w:pPr>
        <w:pStyle w:val="Textodecomentrio"/>
      </w:pPr>
      <w:r>
        <w:t xml:space="preserve">77067588 - CONFLITO NEGATIVO DE COMPETÊNCIA. VARAS CÍVEIS. EXIBIÇÃO DE DOCUMENTO. PREVENÇÃO. AÇÃO PRINCIPAL. ANÁLISE DO CASO CONCRETO. NATUREZA SATISFATIVA. COMPETÊNCIA DO JUÍZO SUSCITADO. 1. A ação de exibição de documentos, no caso em concreto, apenas buscou a entrega dos documentos diante da negativa da parte adversa, não sendo instalada discussão acerca do conteúdo das informações, mas apenas sua apresentação e disponibilização pela via judicial[...] 3. </w:t>
      </w:r>
      <w:r w:rsidRPr="009941AF">
        <w:rPr>
          <w:b/>
          <w:bCs/>
        </w:rPr>
        <w:t>O entendimento jurisprudencial desta Corte é no sentido de que não há prevenção do Juízo</w:t>
      </w:r>
      <w:r>
        <w:t xml:space="preserve"> que processou a demanda de exibição, mormente porque a pretensão se exaure com a mera apresentação dos documentos. 4. Conflito de competência admitido para declarar a competência do Juízo Suscitado da 21ª Vara Cível de Brasília. (TJDF; CCP 07042.11-71.2020.8.07.0000; Ac. 124.7260; Segunda Câmara Cível; Rel. Des. Arquibaldo Carneiro Portela; Julg. 04/05/2020; Publ. PJe 18/05/2020)</w:t>
      </w:r>
    </w:p>
  </w:comment>
  <w:comment w:id="1" w:author="Homero Medeiros" w:date="2022-06-26T18:00:00Z" w:initials="HM">
    <w:p w14:paraId="45E3B880" w14:textId="77777777" w:rsidR="00754818" w:rsidRDefault="00754818" w:rsidP="00B30B7C">
      <w:pPr>
        <w:pStyle w:val="Textodecomentrio"/>
      </w:pPr>
      <w:r>
        <w:rPr>
          <w:rStyle w:val="Refdecomentrio"/>
        </w:rPr>
        <w:annotationRef/>
      </w:r>
      <w:r>
        <w:t>Confirme todos os dados da parte autora</w:t>
      </w:r>
    </w:p>
  </w:comment>
  <w:comment w:id="2" w:author="Homero Medeiros" w:date="2022-06-26T18:00:00Z" w:initials="HM">
    <w:p w14:paraId="62C2F101" w14:textId="77777777" w:rsidR="00754818" w:rsidRDefault="00754818" w:rsidP="00846565">
      <w:pPr>
        <w:pStyle w:val="Textodecomentrio"/>
      </w:pPr>
      <w:r>
        <w:rPr>
          <w:rStyle w:val="Refdecomentrio"/>
        </w:rPr>
        <w:annotationRef/>
      </w:r>
      <w:r>
        <w:t>Informe todos os dados do(a) advogado(a)</w:t>
      </w:r>
    </w:p>
  </w:comment>
  <w:comment w:id="3" w:author="Homero Medeiros" w:date="2022-06-26T18:01:00Z" w:initials="HM">
    <w:p w14:paraId="1B2343E5" w14:textId="77777777" w:rsidR="007173FD" w:rsidRDefault="007173FD" w:rsidP="0059636A">
      <w:pPr>
        <w:pStyle w:val="Textodecomentrio"/>
      </w:pPr>
      <w:r>
        <w:rPr>
          <w:rStyle w:val="Refdecomentrio"/>
        </w:rPr>
        <w:annotationRef/>
      </w:r>
      <w:r>
        <w:t>Qualifique corretamente a parte ré, que deve ser a pessoa (natural ou jurídica) que detém o documento ou a coisa em seu poder e tem o dever e entregá-lo</w:t>
      </w:r>
    </w:p>
  </w:comment>
  <w:comment w:id="4" w:author="Homero Medeiros" w:date="2022-06-26T18:01:00Z" w:initials="HM">
    <w:p w14:paraId="44BE983A" w14:textId="77777777" w:rsidR="007173FD" w:rsidRDefault="007173FD" w:rsidP="006A5C1C">
      <w:pPr>
        <w:pStyle w:val="Textodecomentrio"/>
      </w:pPr>
      <w:r>
        <w:rPr>
          <w:rStyle w:val="Refdecomentrio"/>
        </w:rPr>
        <w:annotationRef/>
      </w:r>
      <w:r>
        <w:t>personalizar</w:t>
      </w:r>
    </w:p>
  </w:comment>
  <w:comment w:id="5" w:author="Homero Medeiros" w:date="2022-06-26T18:02:00Z" w:initials="HM">
    <w:p w14:paraId="514AE900" w14:textId="77777777" w:rsidR="007173FD" w:rsidRDefault="007173FD" w:rsidP="00DA7A12">
      <w:pPr>
        <w:pStyle w:val="Textodecomentrio"/>
      </w:pPr>
      <w:r>
        <w:rPr>
          <w:rStyle w:val="Refdecomentrio"/>
        </w:rPr>
        <w:annotationRef/>
      </w:r>
      <w:r>
        <w:t>Personalizar com os dados do caso concreto</w:t>
      </w:r>
    </w:p>
  </w:comment>
  <w:comment w:id="6" w:author="Homero Medeiros" w:date="2022-06-26T18:03:00Z" w:initials="HM">
    <w:p w14:paraId="7E4AA70C" w14:textId="77777777" w:rsidR="00FE4207" w:rsidRDefault="00FE4207" w:rsidP="00154854">
      <w:pPr>
        <w:pStyle w:val="Textodecomentrio"/>
      </w:pPr>
      <w:r>
        <w:rPr>
          <w:rStyle w:val="Refdecomentrio"/>
        </w:rPr>
        <w:annotationRef/>
      </w:r>
      <w:r>
        <w:t>Indicar a data solicitação</w:t>
      </w:r>
    </w:p>
  </w:comment>
  <w:comment w:id="7" w:author="Homero Medeiros" w:date="2022-06-26T18:06:00Z" w:initials="HM">
    <w:p w14:paraId="1DC69628" w14:textId="77777777" w:rsidR="00A44B6C" w:rsidRDefault="00A44B6C" w:rsidP="00D7570E">
      <w:pPr>
        <w:pStyle w:val="Textodecomentrio"/>
      </w:pPr>
      <w:r>
        <w:rPr>
          <w:rStyle w:val="Refdecomentrio"/>
        </w:rPr>
        <w:annotationRef/>
      </w:r>
      <w:r>
        <w:t>Ou colocar que negou a fornecer as informações.</w:t>
      </w:r>
    </w:p>
  </w:comment>
  <w:comment w:id="8" w:author="Homero Medeiros" w:date="2022-06-26T18:08:00Z" w:initials="HM">
    <w:p w14:paraId="1B4E9C4D" w14:textId="77777777" w:rsidR="00982440" w:rsidRDefault="00982440" w:rsidP="00EC516B">
      <w:pPr>
        <w:pStyle w:val="Textodecomentrio"/>
      </w:pPr>
      <w:r>
        <w:rPr>
          <w:rStyle w:val="Refdecomentrio"/>
        </w:rPr>
        <w:annotationRef/>
      </w:r>
      <w:r>
        <w:t>Este parágrafo é aplicável quando for contratos bancários. Se for outro tipo de contrato ou documento, é necessário personalizar.</w:t>
      </w:r>
    </w:p>
  </w:comment>
  <w:comment w:id="9" w:author="Homero Medeiros" w:date="2022-06-26T18:09:00Z" w:initials="HM">
    <w:p w14:paraId="09692047" w14:textId="77777777" w:rsidR="007B1BAD" w:rsidRDefault="007B1BAD" w:rsidP="00C24D61">
      <w:pPr>
        <w:pStyle w:val="Textodecomentrio"/>
      </w:pPr>
      <w:r>
        <w:rPr>
          <w:rStyle w:val="Refdecomentrio"/>
        </w:rPr>
        <w:annotationRef/>
      </w:r>
      <w:r>
        <w:t>Outra situação possível:</w:t>
      </w:r>
      <w:r>
        <w:br/>
        <w:t>Por fim, não há se falar em pagamento pelo fornecimento de cópia do contrato, pois o recebimento gratuito de uma via do contrato é um direito básico do consumidor derivado do dever de informação estampado no art. 6º, III, do CDC.</w:t>
      </w:r>
    </w:p>
  </w:comment>
  <w:comment w:id="10" w:author="Homero Medeiros" w:date="2022-06-26T18:10:00Z" w:initials="HM">
    <w:p w14:paraId="2FC7B1E1" w14:textId="77777777" w:rsidR="007B1BAD" w:rsidRDefault="007B1BAD" w:rsidP="000B5FAA">
      <w:pPr>
        <w:pStyle w:val="Textodecomentrio"/>
      </w:pPr>
      <w:r>
        <w:rPr>
          <w:rStyle w:val="Refdecomentrio"/>
        </w:rPr>
        <w:annotationRef/>
      </w:r>
      <w:r>
        <w:t>personalizar</w:t>
      </w:r>
    </w:p>
  </w:comment>
  <w:comment w:id="11" w:author="Homero Medeiros" w:date="2022-06-26T18:14:00Z" w:initials="HM">
    <w:p w14:paraId="608D1A12" w14:textId="77777777" w:rsidR="00A160A4" w:rsidRDefault="00167CB2">
      <w:pPr>
        <w:pStyle w:val="Textodecomentrio"/>
      </w:pPr>
      <w:r>
        <w:rPr>
          <w:rStyle w:val="Refdecomentrio"/>
        </w:rPr>
        <w:annotationRef/>
      </w:r>
      <w:r w:rsidR="00A160A4">
        <w:t>Embora se peça os honorários, o STJ entende que ele não ocorrerá em todos os casos, mas apenas quando houver resistência. Veja-se:</w:t>
      </w:r>
      <w:r w:rsidR="00A160A4">
        <w:br/>
      </w:r>
      <w:r w:rsidR="00A160A4">
        <w:br/>
      </w:r>
      <w:r w:rsidR="00A160A4">
        <w:br/>
        <w:t>AGRAVO INTERNO NO AGRAVO EM RECURSO ESPECIAL. PRODUÇÃO ANTECIPADA DE PROVAS. HONORÁRIOS SUCUMBENCIAIS. NÃO CABIMENTO. AUSÊNCIA DE PRETENSÃO RESISTIDA. PRECEDENTES. INIDONEIDADE DO REQUERIMENTO ADMINISTRATIVO. REVISÃO. IMPOSSIBILIDADE. SÚMULA 7/STJ. PRECEDENTE OBRIGATÓRIO. INAPLICABILIDADE . AGRAVO DESPROVIDO.</w:t>
      </w:r>
    </w:p>
    <w:p w14:paraId="202E0400" w14:textId="77777777" w:rsidR="00A160A4" w:rsidRDefault="00A160A4">
      <w:pPr>
        <w:pStyle w:val="Textodecomentrio"/>
      </w:pPr>
      <w:r>
        <w:t>1. Nos termos da jurisprudência do STJ, somente haverá condenação ao pagamento dos honorários sucumbenciais quando, nas ações de produção antecipada de prova, for demonstrada a resistência da parte ré à exibição dos documentos solicitados, o que não se observa no caso concreto. [...]</w:t>
      </w:r>
    </w:p>
    <w:p w14:paraId="16E6BE8B" w14:textId="77777777" w:rsidR="00A160A4" w:rsidRDefault="00A160A4" w:rsidP="00A7121A">
      <w:pPr>
        <w:pStyle w:val="Textodecomentrio"/>
      </w:pPr>
      <w:r>
        <w:t>(AgInt no AREsp n. 1.763.809/SP, relator Ministro Marco Aurélio Bellizze, Terceira Turma, julgado em 11/5/2021, DJe de 14/5/2021.)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D2A10C" w15:done="0"/>
  <w15:commentEx w15:paraId="45E3B880" w15:done="0"/>
  <w15:commentEx w15:paraId="62C2F101" w15:done="0"/>
  <w15:commentEx w15:paraId="1B2343E5" w15:done="0"/>
  <w15:commentEx w15:paraId="44BE983A" w15:done="0"/>
  <w15:commentEx w15:paraId="514AE900" w15:done="0"/>
  <w15:commentEx w15:paraId="7E4AA70C" w15:done="0"/>
  <w15:commentEx w15:paraId="1DC69628" w15:done="0"/>
  <w15:commentEx w15:paraId="1B4E9C4D" w15:done="0"/>
  <w15:commentEx w15:paraId="09692047" w15:paraIdParent="1B4E9C4D" w15:done="0"/>
  <w15:commentEx w15:paraId="2FC7B1E1" w15:done="0"/>
  <w15:commentEx w15:paraId="16E6BE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F6BDE" w16cex:dateUtc="2022-03-31T03:53:00Z"/>
  <w16cex:commentExtensible w16cex:durableId="26631D28" w16cex:dateUtc="2022-06-26T22:00:00Z"/>
  <w16cex:commentExtensible w16cex:durableId="26631D3F" w16cex:dateUtc="2022-06-26T22:00:00Z"/>
  <w16cex:commentExtensible w16cex:durableId="26631D6A" w16cex:dateUtc="2022-06-26T22:01:00Z"/>
  <w16cex:commentExtensible w16cex:durableId="26631D8D" w16cex:dateUtc="2022-06-26T22:01:00Z"/>
  <w16cex:commentExtensible w16cex:durableId="26631DC9" w16cex:dateUtc="2022-06-26T22:02:00Z"/>
  <w16cex:commentExtensible w16cex:durableId="26631DF5" w16cex:dateUtc="2022-06-26T22:03:00Z"/>
  <w16cex:commentExtensible w16cex:durableId="26631EBD" w16cex:dateUtc="2022-06-26T22:06:00Z"/>
  <w16cex:commentExtensible w16cex:durableId="26631F01" w16cex:dateUtc="2022-06-26T22:08:00Z"/>
  <w16cex:commentExtensible w16cex:durableId="26631F75" w16cex:dateUtc="2022-06-26T22:09:00Z"/>
  <w16cex:commentExtensible w16cex:durableId="26631F83" w16cex:dateUtc="2022-06-26T22:10:00Z"/>
  <w16cex:commentExtensible w16cex:durableId="2663209E" w16cex:dateUtc="2022-06-26T2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D2A10C" w16cid:durableId="25EF6BDE"/>
  <w16cid:commentId w16cid:paraId="45E3B880" w16cid:durableId="26631D28"/>
  <w16cid:commentId w16cid:paraId="62C2F101" w16cid:durableId="26631D3F"/>
  <w16cid:commentId w16cid:paraId="1B2343E5" w16cid:durableId="26631D6A"/>
  <w16cid:commentId w16cid:paraId="44BE983A" w16cid:durableId="26631D8D"/>
  <w16cid:commentId w16cid:paraId="514AE900" w16cid:durableId="26631DC9"/>
  <w16cid:commentId w16cid:paraId="7E4AA70C" w16cid:durableId="26631DF5"/>
  <w16cid:commentId w16cid:paraId="1DC69628" w16cid:durableId="26631EBD"/>
  <w16cid:commentId w16cid:paraId="1B4E9C4D" w16cid:durableId="26631F01"/>
  <w16cid:commentId w16cid:paraId="09692047" w16cid:durableId="26631F75"/>
  <w16cid:commentId w16cid:paraId="2FC7B1E1" w16cid:durableId="26631F83"/>
  <w16cid:commentId w16cid:paraId="16E6BE8B" w16cid:durableId="266320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E34" w14:textId="77777777" w:rsidR="005F3DD4" w:rsidRDefault="005F3DD4">
      <w:r>
        <w:separator/>
      </w:r>
    </w:p>
  </w:endnote>
  <w:endnote w:type="continuationSeparator" w:id="0">
    <w:p w14:paraId="1457A237" w14:textId="77777777" w:rsidR="005F3DD4" w:rsidRDefault="005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546" w14:textId="77777777" w:rsidR="005F3DD4" w:rsidRDefault="005F3DD4">
      <w:r>
        <w:separator/>
      </w:r>
    </w:p>
  </w:footnote>
  <w:footnote w:type="continuationSeparator" w:id="0">
    <w:p w14:paraId="21308445" w14:textId="77777777" w:rsidR="005F3DD4" w:rsidRDefault="005F3DD4">
      <w:r>
        <w:continuationSeparator/>
      </w:r>
    </w:p>
  </w:footnote>
  <w:footnote w:id="1">
    <w:p w14:paraId="7C790BD1" w14:textId="77777777" w:rsidR="00754818" w:rsidRPr="000906C5" w:rsidRDefault="00754818" w:rsidP="00754818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Conforme procuração anexa.</w:t>
      </w:r>
    </w:p>
  </w:footnote>
  <w:footnote w:id="2">
    <w:p w14:paraId="4AC7558C" w14:textId="77777777" w:rsidR="00754818" w:rsidRPr="000906C5" w:rsidRDefault="00754818" w:rsidP="00754818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REsp 1803251/SC, Rel. Ministro MARCO AURÉLIO BELLIZZE, TERCEIRA TURMA, julgado em 22/10/2019, DJe 08/11/2019. </w:t>
      </w:r>
      <w:r w:rsidRPr="000906C5">
        <w:rPr>
          <w:rFonts w:asciiTheme="minorHAnsi" w:hAnsiTheme="minorHAnsi" w:cstheme="minorHAnsi"/>
          <w:b/>
          <w:bCs/>
          <w:sz w:val="18"/>
          <w:szCs w:val="18"/>
          <w:u w:val="single"/>
        </w:rPr>
        <w:t>Em igual sentido:</w:t>
      </w:r>
      <w:r w:rsidRPr="000906C5">
        <w:rPr>
          <w:rFonts w:asciiTheme="minorHAnsi" w:hAnsiTheme="minorHAnsi" w:cstheme="minorHAnsi"/>
          <w:sz w:val="18"/>
          <w:szCs w:val="18"/>
        </w:rPr>
        <w:t xml:space="preserve"> AgInt no AREsp 1651478/SP, Rel. Ministro MARCO AURÉLIO BELLIZZE, TERCEIRA TURMA, julgado em 24/08/2020, DJe 01/09/2020</w:t>
      </w:r>
    </w:p>
  </w:footnote>
  <w:footnote w:id="3">
    <w:p w14:paraId="5C29C92E" w14:textId="77777777" w:rsidR="00754818" w:rsidRPr="000906C5" w:rsidRDefault="00754818" w:rsidP="00754818">
      <w:pPr>
        <w:pStyle w:val="Textodenotaderodap"/>
        <w:jc w:val="both"/>
        <w:rPr>
          <w:rFonts w:asciiTheme="minorHAnsi" w:hAnsiTheme="minorHAnsi" w:cstheme="minorHAnsi"/>
          <w:color w:val="424F54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Tema Repetitivo nº 648 do STJ: A propositura de ação cautelar de exibição de documentos bancários (cópias e segunda via de documentos) é cabível como medida preparatória a fim de instruir a ação principal, bastando a demonstração da existência de relação jurídica entre as partes, a comprovação de prévio pedido à instituição financeira não atendido em prazo razoável, e o pagamento do custo do serviço conforme previsão contratual e normatização da autoridade monetária. </w:t>
      </w:r>
    </w:p>
  </w:footnote>
  <w:footnote w:id="4">
    <w:p w14:paraId="4A17C413" w14:textId="77777777" w:rsidR="00754818" w:rsidRPr="000906C5" w:rsidRDefault="00754818" w:rsidP="00754818">
      <w:pPr>
        <w:pStyle w:val="Textodenotaderodap"/>
        <w:jc w:val="both"/>
        <w:rPr>
          <w:rFonts w:asciiTheme="minorHAnsi" w:hAnsiTheme="minorHAnsi" w:cstheme="minorHAnsi"/>
          <w:i/>
          <w:iCs/>
          <w:color w:val="050B50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6500174712 - PRODUÇÃO ANTECIPADA DE PROVA. EXIBIÇÃO DE DOCUMENTO. REQUISITOS SEDIMENTADOS PELO STJ NA FORMA DO ARTIGO 543-C DO CPC/73 PARA A EXIBIÇÃO JUDICIAL DE DOCUMENTOS. Autor que formulou pedido administrativo que poderia ter sido cumprido pelo réu. Documentos que poderiam ter sido encaminhados para o endereço residencial do autor. Réu que está se negando a exibir o documento. O autor comprovou que solicitou o documento pela via administrativa, mas não obteve êxito na exibição. É requisito para a exibição de documento a demonstração da existência de relação jurídica, o prévio pedido administrativo com concessão de tempo hábil para exibição, bem como o pagamento da tarifa de emissão de segunda via (caso cobrada), o que foi cumprido pelo autor. Réu que poderia ter encaminhado o documento para o autor em seu endereço residencial. O que se verifica nos autos é que o réu está tentando retardar a exibição pretendida. Apelação não provida. (TJSP; AC 1004135-35.2020.8.26.0229; Ac. 15420638; Hortolândia; Décima Segunda Câmara de Direito Privado; Relª Desª Sandra Galhardo Esteves; Julg. 22/02/2022; DJESP 03/03/2022; Pág. 1781)</w:t>
      </w:r>
    </w:p>
  </w:footnote>
  <w:footnote w:id="5">
    <w:p w14:paraId="0CC9E8FE" w14:textId="77777777" w:rsidR="00754818" w:rsidRPr="000906C5" w:rsidRDefault="00754818" w:rsidP="00754818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art. 29, </w:t>
      </w:r>
      <w:r w:rsidRPr="000906C5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§ 2º Na hipótese de emissão sob a forma cartular, a Cédula de Crédito Bancário será emitida em tantas vias quantas forem as partes que nela intervierem, assinadas pelo emitente e pelo terceiro garantidor, se houver, ou por seus respectivos mandatários, </w:t>
      </w:r>
      <w:r w:rsidRPr="000906C5">
        <w:rPr>
          <w:rFonts w:asciiTheme="minorHAnsi" w:eastAsia="Arial" w:hAnsiTheme="minorHAnsi" w:cstheme="minorHAnsi"/>
          <w:b/>
          <w:bCs/>
          <w:color w:val="000000" w:themeColor="text1"/>
          <w:sz w:val="18"/>
          <w:szCs w:val="18"/>
        </w:rPr>
        <w:t>e cada parte receberá uma via.</w:t>
      </w:r>
      <w:r w:rsidRPr="000906C5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 </w:t>
      </w:r>
      <w:hyperlink r:id="rId1" w:anchor="art44">
        <w:r w:rsidRPr="000906C5">
          <w:rPr>
            <w:rStyle w:val="Hyperlink"/>
            <w:rFonts w:asciiTheme="minorHAnsi" w:eastAsia="Arial" w:hAnsiTheme="minorHAnsi" w:cstheme="minorHAnsi"/>
            <w:sz w:val="18"/>
            <w:szCs w:val="18"/>
          </w:rPr>
          <w:t>(Redação dada pela Lei nº 13.986, de 2020</w:t>
        </w:r>
      </w:hyperlink>
    </w:p>
  </w:footnote>
  <w:footnote w:id="6">
    <w:p w14:paraId="38FC14D1" w14:textId="77777777" w:rsidR="00754818" w:rsidRPr="000906C5" w:rsidRDefault="00754818" w:rsidP="00754818">
      <w:pPr>
        <w:pStyle w:val="Textodenotaderodap"/>
        <w:jc w:val="both"/>
        <w:rPr>
          <w:rFonts w:asciiTheme="minorHAnsi" w:hAnsiTheme="minorHAnsi" w:cstheme="minorHAnsi"/>
          <w:color w:val="424F54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tema repetitivo STJ nº 1000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8224EE">
        <w:rPr>
          <w:rFonts w:asciiTheme="minorHAnsi" w:hAnsiTheme="minorHAnsi" w:cstheme="minorHAnsi"/>
          <w:sz w:val="18"/>
          <w:szCs w:val="18"/>
        </w:rPr>
        <w:t>Desde que prováveis a existência da relação jurídica entre as partes e de documento ou coisa que se pretende seja exibido, apurada em contraditório prévio, poderá o juiz, após tentativa de busca e apreensão ou outra medida coercitiva, determinar sua exibição sob pena de multa com base no art. 400, parágrafo único, do CPC/2015.</w:t>
      </w:r>
      <w:r w:rsidRPr="000906C5">
        <w:rPr>
          <w:rFonts w:asciiTheme="minorHAnsi" w:hAnsiTheme="minorHAnsi" w:cstheme="minorHAnsi"/>
          <w:sz w:val="18"/>
          <w:szCs w:val="18"/>
        </w:rPr>
        <w:t xml:space="preserve"> </w:t>
      </w:r>
      <w:r w:rsidRPr="000906C5">
        <w:rPr>
          <w:rFonts w:asciiTheme="minorHAnsi" w:hAnsiTheme="minorHAnsi" w:cstheme="minorHAnsi"/>
          <w:color w:val="424F54"/>
          <w:sz w:val="18"/>
          <w:szCs w:val="18"/>
        </w:rPr>
        <w:t>(</w:t>
      </w:r>
      <w:hyperlink r:id="rId2">
        <w:r w:rsidRPr="000906C5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REsp 1763462/MG</w:t>
        </w:r>
      </w:hyperlink>
      <w:r w:rsidRPr="000906C5">
        <w:rPr>
          <w:rFonts w:asciiTheme="minorHAnsi" w:hAnsiTheme="minorHAnsi" w:cstheme="minorHAnsi"/>
          <w:color w:val="424F54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7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0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5540">
    <w:abstractNumId w:val="32"/>
  </w:num>
  <w:num w:numId="2" w16cid:durableId="702050249">
    <w:abstractNumId w:val="12"/>
  </w:num>
  <w:num w:numId="3" w16cid:durableId="84423216">
    <w:abstractNumId w:val="23"/>
  </w:num>
  <w:num w:numId="4" w16cid:durableId="737362167">
    <w:abstractNumId w:val="8"/>
  </w:num>
  <w:num w:numId="5" w16cid:durableId="473570806">
    <w:abstractNumId w:val="26"/>
  </w:num>
  <w:num w:numId="6" w16cid:durableId="2112774250">
    <w:abstractNumId w:val="29"/>
  </w:num>
  <w:num w:numId="7" w16cid:durableId="1310209205">
    <w:abstractNumId w:val="9"/>
  </w:num>
  <w:num w:numId="8" w16cid:durableId="1919443616">
    <w:abstractNumId w:val="0"/>
  </w:num>
  <w:num w:numId="9" w16cid:durableId="1090470863">
    <w:abstractNumId w:val="4"/>
  </w:num>
  <w:num w:numId="10" w16cid:durableId="1819568645">
    <w:abstractNumId w:val="20"/>
  </w:num>
  <w:num w:numId="11" w16cid:durableId="331572772">
    <w:abstractNumId w:val="7"/>
  </w:num>
  <w:num w:numId="12" w16cid:durableId="1854372283">
    <w:abstractNumId w:val="10"/>
  </w:num>
  <w:num w:numId="13" w16cid:durableId="562957423">
    <w:abstractNumId w:val="7"/>
    <w:lvlOverride w:ilvl="0">
      <w:startOverride w:val="1"/>
    </w:lvlOverride>
  </w:num>
  <w:num w:numId="14" w16cid:durableId="1475679063">
    <w:abstractNumId w:val="10"/>
    <w:lvlOverride w:ilvl="0">
      <w:startOverride w:val="1"/>
    </w:lvlOverride>
  </w:num>
  <w:num w:numId="15" w16cid:durableId="412550031">
    <w:abstractNumId w:val="13"/>
  </w:num>
  <w:num w:numId="16" w16cid:durableId="788940232">
    <w:abstractNumId w:val="1"/>
  </w:num>
  <w:num w:numId="17" w16cid:durableId="55789235">
    <w:abstractNumId w:val="1"/>
  </w:num>
  <w:num w:numId="18" w16cid:durableId="1694838875">
    <w:abstractNumId w:val="1"/>
  </w:num>
  <w:num w:numId="19" w16cid:durableId="1499494828">
    <w:abstractNumId w:val="1"/>
  </w:num>
  <w:num w:numId="20" w16cid:durableId="2112118408">
    <w:abstractNumId w:val="1"/>
  </w:num>
  <w:num w:numId="21" w16cid:durableId="1452044524">
    <w:abstractNumId w:val="1"/>
  </w:num>
  <w:num w:numId="22" w16cid:durableId="2049454297">
    <w:abstractNumId w:val="1"/>
  </w:num>
  <w:num w:numId="23" w16cid:durableId="591280778">
    <w:abstractNumId w:val="1"/>
  </w:num>
  <w:num w:numId="24" w16cid:durableId="836192786">
    <w:abstractNumId w:val="1"/>
  </w:num>
  <w:num w:numId="25" w16cid:durableId="922185743">
    <w:abstractNumId w:val="22"/>
  </w:num>
  <w:num w:numId="26" w16cid:durableId="1514421470">
    <w:abstractNumId w:val="28"/>
  </w:num>
  <w:num w:numId="27" w16cid:durableId="1352344286">
    <w:abstractNumId w:val="21"/>
  </w:num>
  <w:num w:numId="28" w16cid:durableId="875460638">
    <w:abstractNumId w:val="19"/>
  </w:num>
  <w:num w:numId="29" w16cid:durableId="567615086">
    <w:abstractNumId w:val="18"/>
  </w:num>
  <w:num w:numId="30" w16cid:durableId="1827239630">
    <w:abstractNumId w:val="27"/>
  </w:num>
  <w:num w:numId="31" w16cid:durableId="2063017462">
    <w:abstractNumId w:val="15"/>
  </w:num>
  <w:num w:numId="32" w16cid:durableId="1507788547">
    <w:abstractNumId w:val="3"/>
  </w:num>
  <w:num w:numId="33" w16cid:durableId="1915502881">
    <w:abstractNumId w:val="16"/>
  </w:num>
  <w:num w:numId="34" w16cid:durableId="263073254">
    <w:abstractNumId w:val="30"/>
  </w:num>
  <w:num w:numId="35" w16cid:durableId="613368263">
    <w:abstractNumId w:val="6"/>
  </w:num>
  <w:num w:numId="36" w16cid:durableId="1563632974">
    <w:abstractNumId w:val="7"/>
    <w:lvlOverride w:ilvl="0">
      <w:startOverride w:val="1"/>
    </w:lvlOverride>
  </w:num>
  <w:num w:numId="37" w16cid:durableId="677737878">
    <w:abstractNumId w:val="25"/>
  </w:num>
  <w:num w:numId="38" w16cid:durableId="225577744">
    <w:abstractNumId w:val="2"/>
  </w:num>
  <w:num w:numId="39" w16cid:durableId="1613322938">
    <w:abstractNumId w:val="17"/>
  </w:num>
  <w:num w:numId="40" w16cid:durableId="308679245">
    <w:abstractNumId w:val="14"/>
  </w:num>
  <w:num w:numId="41" w16cid:durableId="1322077408">
    <w:abstractNumId w:val="5"/>
  </w:num>
  <w:num w:numId="42" w16cid:durableId="1035354297">
    <w:abstractNumId w:val="24"/>
  </w:num>
  <w:num w:numId="43" w16cid:durableId="1073166337">
    <w:abstractNumId w:val="31"/>
  </w:num>
  <w:num w:numId="44" w16cid:durableId="63394485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718EC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67CB2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09B1"/>
    <w:rsid w:val="00251182"/>
    <w:rsid w:val="00251A7D"/>
    <w:rsid w:val="002522E0"/>
    <w:rsid w:val="002537BC"/>
    <w:rsid w:val="00253FC1"/>
    <w:rsid w:val="002552A5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23EF"/>
    <w:rsid w:val="002927F7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0F73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240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DD6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7604C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6C82"/>
    <w:rsid w:val="004C1EA6"/>
    <w:rsid w:val="004C46B5"/>
    <w:rsid w:val="004C4E5A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D651B"/>
    <w:rsid w:val="004E0D40"/>
    <w:rsid w:val="004E1335"/>
    <w:rsid w:val="004E1C99"/>
    <w:rsid w:val="004E31BA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528B"/>
    <w:rsid w:val="005572B3"/>
    <w:rsid w:val="00560FDC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173FD"/>
    <w:rsid w:val="00720557"/>
    <w:rsid w:val="0072376A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4818"/>
    <w:rsid w:val="00755938"/>
    <w:rsid w:val="00760B16"/>
    <w:rsid w:val="00760EA4"/>
    <w:rsid w:val="0076232E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B94"/>
    <w:rsid w:val="007A6EC2"/>
    <w:rsid w:val="007B02B4"/>
    <w:rsid w:val="007B0F00"/>
    <w:rsid w:val="007B12E5"/>
    <w:rsid w:val="007B1BAD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76C"/>
    <w:rsid w:val="007D58CF"/>
    <w:rsid w:val="007D59EB"/>
    <w:rsid w:val="007D657F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EF9"/>
    <w:rsid w:val="008F5C23"/>
    <w:rsid w:val="008F6245"/>
    <w:rsid w:val="008F69CD"/>
    <w:rsid w:val="008F70B5"/>
    <w:rsid w:val="009030D0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EF1"/>
    <w:rsid w:val="00915BB2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2440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A7884"/>
    <w:rsid w:val="009B06CD"/>
    <w:rsid w:val="009B0E3C"/>
    <w:rsid w:val="009B23F9"/>
    <w:rsid w:val="009B3818"/>
    <w:rsid w:val="009B3973"/>
    <w:rsid w:val="009B3BB0"/>
    <w:rsid w:val="009B4AC1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0A4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6C"/>
    <w:rsid w:val="00A44BFD"/>
    <w:rsid w:val="00A46CF7"/>
    <w:rsid w:val="00A47BCC"/>
    <w:rsid w:val="00A53A7A"/>
    <w:rsid w:val="00A53D75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10DA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85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05FC"/>
    <w:rsid w:val="00B71C8E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5E9D"/>
    <w:rsid w:val="00E27649"/>
    <w:rsid w:val="00E31510"/>
    <w:rsid w:val="00E35199"/>
    <w:rsid w:val="00E35C41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E42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4207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2.stj.jus.br/processo/pesquisa/?tipoPesquisa=tipoPesquisaNumeroRegistro&amp;termo=201802258148" TargetMode="External"/><Relationship Id="rId1" Type="http://schemas.openxmlformats.org/officeDocument/2006/relationships/hyperlink" Target="http://www.planalto.gov.br/ccivil_03/_Ato2019-2022/2020/Lei/L13986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16</TotalTime>
  <Pages>5</Pages>
  <Words>922</Words>
  <Characters>4993</Characters>
  <Application>Microsoft Office Word</Application>
  <DocSecurity>0</DocSecurity>
  <Lines>41</Lines>
  <Paragraphs>11</Paragraphs>
  <ScaleCrop>false</ScaleCrop>
  <Company>Cível na Prática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11</cp:revision>
  <cp:lastPrinted>2020-10-30T02:04:00Z</cp:lastPrinted>
  <dcterms:created xsi:type="dcterms:W3CDTF">2022-06-26T21:58:00Z</dcterms:created>
  <dcterms:modified xsi:type="dcterms:W3CDTF">2022-06-26T22:15:00Z</dcterms:modified>
</cp:coreProperties>
</file>